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0D6" w:rsidRPr="004F0444" w:rsidRDefault="003C3D66" w:rsidP="006111A8">
      <w:pPr>
        <w:spacing w:line="360" w:lineRule="auto"/>
        <w:jc w:val="center"/>
      </w:pPr>
      <w:r w:rsidRPr="004F0444">
        <w:t>THE DISSIMILAR EXPERIENCE WITH</w:t>
      </w:r>
      <w:r w:rsidR="00FE1A80" w:rsidRPr="004F0444">
        <w:t xml:space="preserve"> </w:t>
      </w:r>
      <w:r w:rsidR="00C1312A" w:rsidRPr="004F0444">
        <w:t xml:space="preserve">ECONOMIC INSTRUMENTS TO CONTROL POLLUTION </w:t>
      </w:r>
      <w:r w:rsidRPr="004F0444">
        <w:t>AMONG LATIN AMERICAN COUNTRIES</w:t>
      </w:r>
      <w:r w:rsidR="00FE1A80" w:rsidRPr="004F0444">
        <w:t xml:space="preserve">: </w:t>
      </w:r>
      <w:r w:rsidRPr="004F0444">
        <w:t>CAN WE EXPLAIN IT?</w:t>
      </w:r>
      <w:r w:rsidR="00002C05" w:rsidRPr="004F0444">
        <w:rPr>
          <w:rStyle w:val="Refdenotaalpie"/>
        </w:rPr>
        <w:footnoteReference w:id="1"/>
      </w:r>
    </w:p>
    <w:p w:rsidR="00C02681" w:rsidRDefault="00C02681" w:rsidP="006A4206">
      <w:pPr>
        <w:pStyle w:val="Ttulo1"/>
        <w:spacing w:line="360" w:lineRule="auto"/>
      </w:pPr>
    </w:p>
    <w:p w:rsidR="00002C05" w:rsidRPr="009836B1" w:rsidRDefault="00002C05" w:rsidP="002A3AF5">
      <w:pPr>
        <w:pStyle w:val="Ttulo7"/>
        <w:jc w:val="center"/>
        <w:rPr>
          <w:rStyle w:val="Refdenotaalpie"/>
          <w:sz w:val="24"/>
          <w:lang w:val="es-MX"/>
        </w:rPr>
      </w:pPr>
      <w:r w:rsidRPr="009836B1">
        <w:rPr>
          <w:rFonts w:ascii="Times New Roman" w:hAnsi="Times New Roman"/>
          <w:lang w:val="es-MX"/>
        </w:rPr>
        <w:t>Marcelo Caffera</w:t>
      </w:r>
      <w:r w:rsidRPr="00002C05">
        <w:rPr>
          <w:rStyle w:val="Refdenotaalpie"/>
          <w:sz w:val="24"/>
        </w:rPr>
        <w:footnoteReference w:customMarkFollows="1" w:id="2"/>
        <w:sym w:font="Symbol" w:char="F078"/>
      </w:r>
    </w:p>
    <w:p w:rsidR="00002C05" w:rsidRPr="009836B1" w:rsidRDefault="00002C05" w:rsidP="002A3AF5">
      <w:pPr>
        <w:pStyle w:val="Ttulo7"/>
        <w:jc w:val="center"/>
        <w:rPr>
          <w:rFonts w:ascii="Times New Roman" w:hAnsi="Times New Roman"/>
          <w:lang w:val="es-MX"/>
        </w:rPr>
      </w:pPr>
      <w:r w:rsidRPr="009836B1">
        <w:rPr>
          <w:rFonts w:ascii="Times New Roman" w:hAnsi="Times New Roman"/>
          <w:bCs/>
          <w:lang w:val="es-MX"/>
        </w:rPr>
        <w:t>Universidad de Montevideo</w:t>
      </w:r>
    </w:p>
    <w:p w:rsidR="00C02681" w:rsidRPr="009836B1" w:rsidRDefault="00C02681" w:rsidP="002A3AF5">
      <w:pPr>
        <w:pStyle w:val="Ttulo1"/>
        <w:spacing w:line="240" w:lineRule="auto"/>
        <w:rPr>
          <w:lang w:val="es-MX"/>
        </w:rPr>
      </w:pPr>
    </w:p>
    <w:p w:rsidR="002A3AF5" w:rsidRPr="009836B1" w:rsidRDefault="002A3AF5" w:rsidP="002A3AF5">
      <w:pPr>
        <w:pStyle w:val="Ttulo1"/>
        <w:suppressAutoHyphens w:val="0"/>
        <w:spacing w:line="360" w:lineRule="auto"/>
        <w:rPr>
          <w:bCs/>
          <w:sz w:val="22"/>
          <w:szCs w:val="22"/>
          <w:lang w:val="es-MX"/>
        </w:rPr>
      </w:pPr>
      <w:bookmarkStart w:id="0" w:name="_Toc239545277"/>
      <w:r w:rsidRPr="00091E11">
        <w:rPr>
          <w:bCs/>
          <w:sz w:val="22"/>
          <w:szCs w:val="22"/>
          <w:lang w:val="es-UY"/>
        </w:rPr>
        <w:t>Abstract</w:t>
      </w:r>
      <w:bookmarkEnd w:id="0"/>
    </w:p>
    <w:p w:rsidR="000B0441" w:rsidRPr="000B0441" w:rsidRDefault="00354990" w:rsidP="000B0441">
      <w:pPr>
        <w:pStyle w:val="paragraph-chapters"/>
        <w:spacing w:line="240" w:lineRule="auto"/>
      </w:pPr>
      <w:r>
        <w:t>The experience of Latin American countries with economic instruments in environmental policy falls behind that of developed countries</w:t>
      </w:r>
      <w:r w:rsidR="00C8091E">
        <w:t xml:space="preserve"> and is very dissimilar</w:t>
      </w:r>
      <w:r>
        <w:t xml:space="preserve">. </w:t>
      </w:r>
      <w:r w:rsidR="004E5097">
        <w:t>Based on t</w:t>
      </w:r>
      <w:r w:rsidR="0001532C">
        <w:t>he environmental economics and environmental law literatures</w:t>
      </w:r>
      <w:r w:rsidR="004E5097">
        <w:t>, two factors may explain this situation</w:t>
      </w:r>
      <w:r w:rsidR="0001532C">
        <w:t xml:space="preserve">: the lack of </w:t>
      </w:r>
      <w:r w:rsidR="000B0441" w:rsidRPr="000B0441">
        <w:t>institution</w:t>
      </w:r>
      <w:r w:rsidR="000B0441">
        <w:t xml:space="preserve">al </w:t>
      </w:r>
      <w:r w:rsidR="0001532C">
        <w:t xml:space="preserve">capacity </w:t>
      </w:r>
      <w:r w:rsidR="000B0441">
        <w:t>and political economy</w:t>
      </w:r>
      <w:r w:rsidR="000B0441" w:rsidRPr="000B0441">
        <w:t xml:space="preserve"> </w:t>
      </w:r>
      <w:r w:rsidR="0001532C">
        <w:t xml:space="preserve">issues. In this paper I critically review both </w:t>
      </w:r>
      <w:r w:rsidR="006A1F47">
        <w:t>arguments</w:t>
      </w:r>
      <w:r w:rsidR="0001532C">
        <w:t xml:space="preserve"> based on some experiences</w:t>
      </w:r>
      <w:r w:rsidR="006A1F47">
        <w:t xml:space="preserve"> in the region, and </w:t>
      </w:r>
      <w:r w:rsidR="00C75D33">
        <w:t xml:space="preserve">stress important </w:t>
      </w:r>
      <w:r w:rsidR="00207D6C">
        <w:t xml:space="preserve">factors </w:t>
      </w:r>
      <w:r w:rsidR="00C75D33">
        <w:t>that are not adequately emphasized</w:t>
      </w:r>
      <w:r w:rsidR="00207D6C">
        <w:t xml:space="preserve"> in the </w:t>
      </w:r>
      <w:r w:rsidR="00C75D33">
        <w:t>previous literature</w:t>
      </w:r>
      <w:r w:rsidR="008E7B8D">
        <w:t>.</w:t>
      </w:r>
    </w:p>
    <w:p w:rsidR="00C02681" w:rsidRDefault="00C02681" w:rsidP="000B0441">
      <w:pPr>
        <w:pStyle w:val="Ttulo1"/>
        <w:spacing w:line="240" w:lineRule="auto"/>
        <w:jc w:val="both"/>
        <w:rPr>
          <w:b w:val="0"/>
        </w:rPr>
      </w:pPr>
    </w:p>
    <w:p w:rsidR="00EB4223" w:rsidRDefault="00EB4223" w:rsidP="00EB4223"/>
    <w:p w:rsidR="00810721" w:rsidRDefault="00810721" w:rsidP="00810721">
      <w:pPr>
        <w:pStyle w:val="Ttulo1"/>
        <w:ind w:left="720"/>
        <w:jc w:val="left"/>
      </w:pPr>
      <w:bookmarkStart w:id="1" w:name="_Toc239545278"/>
    </w:p>
    <w:p w:rsidR="00BF2459" w:rsidRPr="006F4B9F" w:rsidRDefault="00AB71ED" w:rsidP="006F4B9F">
      <w:pPr>
        <w:pStyle w:val="Ttulo1"/>
        <w:numPr>
          <w:ilvl w:val="0"/>
          <w:numId w:val="8"/>
        </w:numPr>
      </w:pPr>
      <w:r w:rsidRPr="006F4B9F">
        <w:t>INTRODUCTION</w:t>
      </w:r>
      <w:bookmarkEnd w:id="1"/>
    </w:p>
    <w:p w:rsidR="008B64FE" w:rsidRDefault="001A734D" w:rsidP="005C2653">
      <w:pPr>
        <w:pStyle w:val="paragraph-chapters"/>
        <w:spacing w:line="360" w:lineRule="auto"/>
      </w:pPr>
      <w:r>
        <w:t xml:space="preserve">Environmental economists </w:t>
      </w:r>
      <w:r w:rsidR="00881FC8">
        <w:t xml:space="preserve">have been </w:t>
      </w:r>
      <w:r w:rsidR="00210C01">
        <w:t>advocating economic</w:t>
      </w:r>
      <w:r w:rsidR="002376F2">
        <w:t xml:space="preserve"> </w:t>
      </w:r>
      <w:r>
        <w:t xml:space="preserve">instruments </w:t>
      </w:r>
      <w:r w:rsidR="00881FC8">
        <w:t>to control pollution for more than thirty years</w:t>
      </w:r>
      <w:r w:rsidR="00CB3C5B">
        <w:t xml:space="preserve"> on the basis of several advantages that</w:t>
      </w:r>
      <w:r w:rsidR="008000D0">
        <w:t xml:space="preserve">, they assert, </w:t>
      </w:r>
      <w:r w:rsidR="00881FC8">
        <w:t>th</w:t>
      </w:r>
      <w:r w:rsidR="00210C01">
        <w:t>is</w:t>
      </w:r>
      <w:r w:rsidR="00881FC8">
        <w:t xml:space="preserve"> type of instruments have </w:t>
      </w:r>
      <w:r w:rsidR="00CB3C5B">
        <w:t xml:space="preserve">over </w:t>
      </w:r>
      <w:r w:rsidR="00881FC8">
        <w:t>the traditional prescriptive instruments</w:t>
      </w:r>
      <w:r w:rsidR="00067EC1">
        <w:t>;</w:t>
      </w:r>
      <w:r w:rsidR="00CB3C5B">
        <w:t xml:space="preserve"> </w:t>
      </w:r>
      <w:r w:rsidR="00067EC1">
        <w:t xml:space="preserve">namely: </w:t>
      </w:r>
      <w:r w:rsidR="007F055C">
        <w:t xml:space="preserve">flexibility, dynamic incentives to reduce emissions </w:t>
      </w:r>
      <w:r w:rsidR="003D211D">
        <w:t xml:space="preserve">in the medium and long run and, primarily, </w:t>
      </w:r>
      <w:r w:rsidR="000E6FED">
        <w:t>cost-effectiveness.</w:t>
      </w:r>
      <w:r>
        <w:rPr>
          <w:rStyle w:val="Refdenotaalpie"/>
        </w:rPr>
        <w:footnoteReference w:id="3"/>
      </w:r>
      <w:r>
        <w:t xml:space="preserve"> </w:t>
      </w:r>
      <w:r w:rsidR="000E20BF">
        <w:t>A</w:t>
      </w:r>
      <w:r w:rsidR="00091DC6">
        <w:t xml:space="preserve">ccording to this </w:t>
      </w:r>
      <w:r w:rsidR="008000D0">
        <w:t>argument</w:t>
      </w:r>
      <w:r w:rsidR="00091DC6">
        <w:t>,</w:t>
      </w:r>
      <w:r>
        <w:t xml:space="preserve"> </w:t>
      </w:r>
      <w:r w:rsidR="003D211D">
        <w:t xml:space="preserve">Latin American </w:t>
      </w:r>
      <w:r>
        <w:t xml:space="preserve">countries </w:t>
      </w:r>
      <w:r>
        <w:lastRenderedPageBreak/>
        <w:t>should be interested in their implementation in order to save scarce resources and avoid further compromising economic development possibilities. However, the history of environmental policy in Latin America</w:t>
      </w:r>
      <w:r w:rsidR="005420BA">
        <w:t xml:space="preserve"> </w:t>
      </w:r>
      <w:r>
        <w:t xml:space="preserve">does not </w:t>
      </w:r>
      <w:r w:rsidR="003D211D">
        <w:t xml:space="preserve">fully </w:t>
      </w:r>
      <w:r>
        <w:t xml:space="preserve">validate this presumption. </w:t>
      </w:r>
      <w:r w:rsidR="003D211D">
        <w:t xml:space="preserve">The experience </w:t>
      </w:r>
      <w:r w:rsidR="00391DAD">
        <w:t>of Latin American countries with economic instruments in environmental policy falls behind that of Europe and the U.S. It also differs markedly between countries</w:t>
      </w:r>
      <w:r w:rsidR="003D211D">
        <w:t xml:space="preserve">. </w:t>
      </w:r>
      <w:r w:rsidR="00D57F4B">
        <w:t xml:space="preserve">Countries that have experienced with economic instruments are the less. The bulk majority of Latin American countries still base their environmental policy uniquely on prescriptive regulation. </w:t>
      </w:r>
      <w:r w:rsidR="003D211D">
        <w:t>What accounts for this difference? Thi</w:t>
      </w:r>
      <w:r w:rsidR="00B83463">
        <w:t>s paper addresses this</w:t>
      </w:r>
      <w:r w:rsidR="00D64F8A">
        <w:t xml:space="preserve"> question critically reviewing </w:t>
      </w:r>
      <w:r w:rsidR="00B551D5">
        <w:t xml:space="preserve">the </w:t>
      </w:r>
      <w:r w:rsidR="00D64F8A">
        <w:t>possible</w:t>
      </w:r>
      <w:r w:rsidR="00B83463">
        <w:t xml:space="preserve"> answers </w:t>
      </w:r>
      <w:r w:rsidR="005A4752">
        <w:t xml:space="preserve">that </w:t>
      </w:r>
      <w:r w:rsidR="00B83463">
        <w:t xml:space="preserve">the environmental economics (and law) literature </w:t>
      </w:r>
      <w:r w:rsidR="00D64F8A">
        <w:t>provide</w:t>
      </w:r>
      <w:r w:rsidR="005A4752">
        <w:t xml:space="preserve"> to this question</w:t>
      </w:r>
      <w:r w:rsidR="00B551D5">
        <w:t xml:space="preserve"> and drawing lessons from the experiences in the region with and without economic instruments.</w:t>
      </w:r>
      <w:r w:rsidR="000B7A44">
        <w:t xml:space="preserve"> </w:t>
      </w:r>
      <w:r w:rsidR="00B551D5">
        <w:t xml:space="preserve">As a result of this exercise, </w:t>
      </w:r>
      <w:r w:rsidR="00B83463">
        <w:t xml:space="preserve">other factors not adequately emphasized </w:t>
      </w:r>
      <w:r w:rsidR="000B7A44">
        <w:t xml:space="preserve">that </w:t>
      </w:r>
      <w:r w:rsidR="00B83463">
        <w:t>in this literature</w:t>
      </w:r>
      <w:r w:rsidR="00B551D5">
        <w:t xml:space="preserve"> are stressed.</w:t>
      </w:r>
      <w:r w:rsidR="00B83463">
        <w:t xml:space="preserve"> </w:t>
      </w:r>
    </w:p>
    <w:p w:rsidR="003750D6" w:rsidRDefault="00F36674" w:rsidP="005C2653">
      <w:pPr>
        <w:pStyle w:val="paragraph-chapters"/>
        <w:spacing w:line="360" w:lineRule="auto"/>
      </w:pPr>
      <w:r>
        <w:t>The paper</w:t>
      </w:r>
      <w:r w:rsidR="003D211D">
        <w:t xml:space="preserve"> is organized as follows. In the next section I </w:t>
      </w:r>
      <w:r w:rsidR="000E7B8F">
        <w:t xml:space="preserve">concisely </w:t>
      </w:r>
      <w:r w:rsidR="003D211D">
        <w:t xml:space="preserve">review the </w:t>
      </w:r>
      <w:r w:rsidR="005A0946">
        <w:t>argument favoring economic instruments</w:t>
      </w:r>
      <w:r w:rsidR="003D211D">
        <w:t xml:space="preserve">. This section puts in perspective the arguments over which environmental economists conclude that economic instruments are superior and is used as an analytical framework against which background conclusions are to be drawn. </w:t>
      </w:r>
      <w:r w:rsidR="005E4801">
        <w:t>Section 3, briefly enumerates the experience of Latin American countries with economic instruments. Section 4</w:t>
      </w:r>
      <w:r w:rsidR="003D211D" w:rsidRPr="00324A7F">
        <w:t xml:space="preserve"> </w:t>
      </w:r>
      <w:r w:rsidR="00A8183B">
        <w:t>reviews the a</w:t>
      </w:r>
      <w:r w:rsidR="003D211D" w:rsidRPr="00324A7F">
        <w:t>nswers that</w:t>
      </w:r>
      <w:r w:rsidR="003D211D">
        <w:t xml:space="preserve"> </w:t>
      </w:r>
      <w:r w:rsidR="003D211D" w:rsidRPr="00324A7F">
        <w:t xml:space="preserve">economists have provided </w:t>
      </w:r>
      <w:r w:rsidR="005E4801">
        <w:t>for the lack of more experience with economic instrument</w:t>
      </w:r>
      <w:r w:rsidR="00A8183B">
        <w:t>s</w:t>
      </w:r>
      <w:r w:rsidR="00255395">
        <w:t xml:space="preserve"> in Latin American countries</w:t>
      </w:r>
      <w:r w:rsidR="00A8183B">
        <w:t>. Section 5 critically</w:t>
      </w:r>
      <w:r w:rsidR="00256B91">
        <w:t xml:space="preserve"> </w:t>
      </w:r>
      <w:r w:rsidR="00A8183B">
        <w:t>discusses these answers in the light of the some experiences with and without economic instruments</w:t>
      </w:r>
      <w:r w:rsidR="003D211D">
        <w:t xml:space="preserve">. Finally, </w:t>
      </w:r>
      <w:r w:rsidR="005B5975">
        <w:t>S</w:t>
      </w:r>
      <w:r w:rsidR="003D211D">
        <w:t xml:space="preserve">ection </w:t>
      </w:r>
      <w:r w:rsidR="005B5975">
        <w:t>6</w:t>
      </w:r>
      <w:r w:rsidR="003D211D">
        <w:t xml:space="preserve"> concludes.   </w:t>
      </w:r>
    </w:p>
    <w:p w:rsidR="003D211D" w:rsidRDefault="003D211D" w:rsidP="005C2653">
      <w:pPr>
        <w:pStyle w:val="paragraph-chapters"/>
        <w:spacing w:line="360" w:lineRule="auto"/>
      </w:pPr>
    </w:p>
    <w:p w:rsidR="00824879" w:rsidRDefault="00F652B5" w:rsidP="005C2653">
      <w:pPr>
        <w:pStyle w:val="Ttulo1"/>
        <w:numPr>
          <w:ilvl w:val="0"/>
          <w:numId w:val="8"/>
        </w:numPr>
        <w:spacing w:line="360" w:lineRule="auto"/>
        <w:ind w:left="360"/>
      </w:pPr>
      <w:bookmarkStart w:id="2" w:name="_Toc239545279"/>
      <w:r>
        <w:t>WHY ENVIRONMENTAL ECONOMISTS ADVOCATE ECONOMIC INSTRUMENTS: A CRITICAL REVIEW</w:t>
      </w:r>
      <w:bookmarkEnd w:id="2"/>
    </w:p>
    <w:p w:rsidR="00F652B5" w:rsidRDefault="00F652B5" w:rsidP="005C2653">
      <w:pPr>
        <w:pStyle w:val="paragraph-chapters"/>
        <w:spacing w:line="360" w:lineRule="auto"/>
      </w:pPr>
      <w:r>
        <w:t xml:space="preserve">Analyzing the </w:t>
      </w:r>
      <w:r w:rsidR="00245288">
        <w:t xml:space="preserve">apparent </w:t>
      </w:r>
      <w:r>
        <w:t xml:space="preserve">puzzle that represents observing </w:t>
      </w:r>
      <w:r w:rsidR="00245288">
        <w:t>regulators</w:t>
      </w:r>
      <w:r>
        <w:t xml:space="preserve"> choosing prescriptive </w:t>
      </w:r>
      <w:r w:rsidR="00245288">
        <w:t>instruments</w:t>
      </w:r>
      <w:r>
        <w:t xml:space="preserve"> </w:t>
      </w:r>
      <w:r w:rsidR="00DA7B9A">
        <w:t xml:space="preserve">instead of economic instruments </w:t>
      </w:r>
      <w:r>
        <w:t xml:space="preserve">to control pollution demands to </w:t>
      </w:r>
      <w:r>
        <w:lastRenderedPageBreak/>
        <w:t>start by reviewing the arguments over which environmental economists claim the superiority of economic instruments.</w:t>
      </w:r>
      <w:r w:rsidR="000E7B8F">
        <w:rPr>
          <w:rStyle w:val="Refdenotaalpie"/>
        </w:rPr>
        <w:footnoteReference w:id="4"/>
      </w:r>
      <w:r>
        <w:t xml:space="preserve"> </w:t>
      </w:r>
    </w:p>
    <w:p w:rsidR="00E0058D" w:rsidRDefault="00F652B5" w:rsidP="005C2653">
      <w:pPr>
        <w:pStyle w:val="paragraph-chapters"/>
        <w:spacing w:line="360" w:lineRule="auto"/>
      </w:pPr>
      <w:r>
        <w:t xml:space="preserve"> Perhaps the most important advantage of economic instruments in the view of environmental economists is their </w:t>
      </w:r>
      <w:r w:rsidRPr="00204051">
        <w:rPr>
          <w:i/>
        </w:rPr>
        <w:t>c</w:t>
      </w:r>
      <w:r>
        <w:rPr>
          <w:i/>
        </w:rPr>
        <w:t>ost-effectiveness</w:t>
      </w:r>
      <w:r w:rsidR="002D6CF7" w:rsidRPr="002D6CF7">
        <w:t>:</w:t>
      </w:r>
      <w:r>
        <w:t xml:space="preserve"> </w:t>
      </w:r>
      <w:r w:rsidR="002D6CF7">
        <w:t xml:space="preserve">economic </w:t>
      </w:r>
      <w:r>
        <w:t>instrument</w:t>
      </w:r>
      <w:r w:rsidR="002D6CF7">
        <w:t>s</w:t>
      </w:r>
      <w:r>
        <w:t xml:space="preserve"> achieve the targeted environmental quality goal at the lowest aggregate </w:t>
      </w:r>
      <w:r w:rsidR="00397600">
        <w:t xml:space="preserve">(abatement) </w:t>
      </w:r>
      <w:r>
        <w:t>cost possible in the short run</w:t>
      </w:r>
      <w:r w:rsidR="002D6CF7">
        <w:t xml:space="preserve">. </w:t>
      </w:r>
      <w:r w:rsidR="009515D0">
        <w:t>P</w:t>
      </w:r>
      <w:r>
        <w:t xml:space="preserve">rescriptive regulation, which is often characterized by uniform emissions standards in the economic literature, is more costly because it fails to exploit the abatement costs differences between firms. Put more formally, </w:t>
      </w:r>
      <w:r w:rsidR="005311AF">
        <w:t xml:space="preserve">uniform </w:t>
      </w:r>
      <w:r w:rsidR="00052599">
        <w:t>emission standards fail</w:t>
      </w:r>
      <w:r>
        <w:t xml:space="preserve"> to equalize marginal abate</w:t>
      </w:r>
      <w:r w:rsidR="005311AF">
        <w:t>ment costs between firms, as</w:t>
      </w:r>
      <w:r>
        <w:t xml:space="preserve"> economic instruments do</w:t>
      </w:r>
      <w:r w:rsidR="00F34179">
        <w:t xml:space="preserve"> and the minimization of abatement costs require</w:t>
      </w:r>
      <w:r w:rsidR="00855AD9">
        <w:t>s</w:t>
      </w:r>
      <w:r w:rsidR="00F34179">
        <w:t xml:space="preserve"> when assuming the source’s point of emission does not matter. In this circumstances, t</w:t>
      </w:r>
      <w:r>
        <w:t xml:space="preserve">he wider the difference of (marginal) abatement costs among sources, the more promising the relative gain from implementing economic instruments versus prescriptive </w:t>
      </w:r>
      <w:r w:rsidR="004304DD">
        <w:t>(</w:t>
      </w:r>
      <w:r>
        <w:t>uniform</w:t>
      </w:r>
      <w:r w:rsidR="004304DD">
        <w:t>)</w:t>
      </w:r>
      <w:r>
        <w:t xml:space="preserve"> instruments (Newell and Stavins, 2003). </w:t>
      </w:r>
      <w:r w:rsidR="00F34179">
        <w:t xml:space="preserve">When the locations of the sources matter, the minimization of abatement costs does not call for the equalization of marginal abatement costs among the firms, but instead to the equalization of the ratio of abatement costs to the ratio of the impact coefficients </w:t>
      </w:r>
      <w:r w:rsidR="002B41EE">
        <w:t xml:space="preserve">of the emissions of the different sources in different locations into ambient quality at the regulated site </w:t>
      </w:r>
      <w:r w:rsidR="00F34179">
        <w:t xml:space="preserve">(see Hanley et al., 1997, for example). This solution requires the regulator to estimate the </w:t>
      </w:r>
      <w:r w:rsidR="002B41EE">
        <w:t>impact</w:t>
      </w:r>
      <w:r w:rsidR="00F34179">
        <w:t xml:space="preserve"> coefficients</w:t>
      </w:r>
      <w:r w:rsidR="002B41EE">
        <w:t>, which a</w:t>
      </w:r>
      <w:r w:rsidR="00F34179">
        <w:t>ccording to Russell and Vaughan (2004)</w:t>
      </w:r>
      <w:r w:rsidR="002B41EE">
        <w:t xml:space="preserve"> makes</w:t>
      </w:r>
      <w:r w:rsidR="00F34179">
        <w:t xml:space="preserve"> economic instruments </w:t>
      </w:r>
      <w:r w:rsidR="00F34179" w:rsidRPr="00075023">
        <w:rPr>
          <w:i/>
        </w:rPr>
        <w:t>information and computation intensive</w:t>
      </w:r>
      <w:r w:rsidR="00F34179">
        <w:rPr>
          <w:i/>
        </w:rPr>
        <w:t xml:space="preserve"> </w:t>
      </w:r>
      <w:r w:rsidR="00F34179">
        <w:t xml:space="preserve">relative to emissions standards in this case. It could be argued though, that the relative intensity of information and computation required by both types of instruments </w:t>
      </w:r>
      <w:r w:rsidR="00F34179" w:rsidRPr="0061372F">
        <w:rPr>
          <w:i/>
        </w:rPr>
        <w:t>in the cost effective allocation</w:t>
      </w:r>
      <w:r w:rsidR="00F34179">
        <w:t xml:space="preserve"> of emissions does not differ much between this case and the case of uniformly mixed emissions. In both cases, the differences in tasks for the regulator under tradable permits versus emission standards are the same. Under tradable permits the regulator saves itself the need to gather information on production and abatement </w:t>
      </w:r>
      <w:r w:rsidR="00F34179">
        <w:lastRenderedPageBreak/>
        <w:t xml:space="preserve">processes and costs, </w:t>
      </w:r>
      <w:r w:rsidR="004204B3">
        <w:t xml:space="preserve">as </w:t>
      </w:r>
      <w:r w:rsidR="00855AD9">
        <w:t xml:space="preserve">it needs </w:t>
      </w:r>
      <w:r w:rsidR="004204B3">
        <w:t xml:space="preserve">in the emissions standards case, </w:t>
      </w:r>
      <w:r w:rsidR="00F34179">
        <w:t xml:space="preserve">but it has to keep track of permit trades. Therefore, the classic </w:t>
      </w:r>
      <w:r w:rsidR="00F34179">
        <w:rPr>
          <w:i/>
        </w:rPr>
        <w:t xml:space="preserve">informational and computational intensity </w:t>
      </w:r>
      <w:r w:rsidR="00F34179">
        <w:t xml:space="preserve">argument favoring tradable permits </w:t>
      </w:r>
      <w:r w:rsidR="004204B3">
        <w:t xml:space="preserve">(Böhm and Russell, 1985) </w:t>
      </w:r>
      <w:r w:rsidR="00F34179">
        <w:t>may be robust to non-uniformly mixed pollutants.</w:t>
      </w:r>
      <w:r w:rsidR="00E0058D" w:rsidRPr="00E0058D">
        <w:rPr>
          <w:rStyle w:val="Refdenotaalpie"/>
        </w:rPr>
        <w:t xml:space="preserve"> </w:t>
      </w:r>
      <w:r w:rsidR="00E0058D">
        <w:rPr>
          <w:rStyle w:val="Refdenotaalpie"/>
        </w:rPr>
        <w:footnoteReference w:id="5"/>
      </w:r>
      <w:r w:rsidR="00E0058D">
        <w:t xml:space="preserve">    </w:t>
      </w:r>
    </w:p>
    <w:p w:rsidR="000642CD" w:rsidRDefault="009001E7" w:rsidP="005C2653">
      <w:pPr>
        <w:pStyle w:val="paragraph-chapters"/>
        <w:spacing w:line="360" w:lineRule="auto"/>
      </w:pPr>
      <w:r>
        <w:t>E</w:t>
      </w:r>
      <w:r w:rsidR="000642CD">
        <w:t xml:space="preserve">nvironmental economists have </w:t>
      </w:r>
      <w:r w:rsidR="00D87A86">
        <w:t xml:space="preserve">also </w:t>
      </w:r>
      <w:r w:rsidR="000642CD">
        <w:t>advocate</w:t>
      </w:r>
      <w:r w:rsidR="0038421F">
        <w:t>d</w:t>
      </w:r>
      <w:r w:rsidR="000642CD">
        <w:t xml:space="preserve"> economic instruments </w:t>
      </w:r>
      <w:r>
        <w:t xml:space="preserve">because </w:t>
      </w:r>
      <w:r w:rsidR="00D117D7">
        <w:t xml:space="preserve">of </w:t>
      </w:r>
      <w:r>
        <w:t>their</w:t>
      </w:r>
      <w:r w:rsidR="000642CD">
        <w:t xml:space="preserve"> </w:t>
      </w:r>
      <w:r w:rsidR="000642CD">
        <w:rPr>
          <w:i/>
        </w:rPr>
        <w:t>d</w:t>
      </w:r>
      <w:r w:rsidR="000642CD" w:rsidRPr="00AF2CA7">
        <w:rPr>
          <w:i/>
        </w:rPr>
        <w:t>ynamic incentives</w:t>
      </w:r>
      <w:r w:rsidR="00D65DC1">
        <w:t xml:space="preserve">. These refer to the </w:t>
      </w:r>
      <w:r w:rsidR="00A705A0">
        <w:t xml:space="preserve">relatively more </w:t>
      </w:r>
      <w:r w:rsidR="00D65DC1">
        <w:t xml:space="preserve">incentives </w:t>
      </w:r>
      <w:r w:rsidR="000642CD">
        <w:t xml:space="preserve">to reduce emission levels </w:t>
      </w:r>
      <w:r w:rsidR="00D65DC1">
        <w:t>that the</w:t>
      </w:r>
      <w:r w:rsidR="00A705A0">
        <w:t>se</w:t>
      </w:r>
      <w:r w:rsidR="00D65DC1">
        <w:t xml:space="preserve"> instruments create </w:t>
      </w:r>
      <w:r w:rsidR="000642CD">
        <w:t>in the long run by</w:t>
      </w:r>
      <w:r w:rsidR="00D65DC1">
        <w:t>, for example,</w:t>
      </w:r>
      <w:r w:rsidR="000642CD">
        <w:t xml:space="preserve"> </w:t>
      </w:r>
      <w:r w:rsidR="00937E0F">
        <w:t xml:space="preserve">inducing profit-maximizers regulated firms to develop techniques and/or invest in technology to reduce costly emissions. </w:t>
      </w:r>
      <w:r w:rsidR="00A705A0">
        <w:t>With p</w:t>
      </w:r>
      <w:r w:rsidR="000642CD">
        <w:t>rescriptive</w:t>
      </w:r>
      <w:r w:rsidR="00D117D7">
        <w:t>,</w:t>
      </w:r>
      <w:r w:rsidR="000642CD">
        <w:t xml:space="preserve"> technology-based regulation </w:t>
      </w:r>
      <w:r w:rsidR="00A705A0">
        <w:t xml:space="preserve">the firms do not have </w:t>
      </w:r>
      <w:r w:rsidR="000642CD">
        <w:t xml:space="preserve">incentives to look for ways to reduce emissions </w:t>
      </w:r>
      <w:r w:rsidR="00A705A0">
        <w:t xml:space="preserve">beyond the point established in the regulation. On the contrary, </w:t>
      </w:r>
      <w:r w:rsidR="000642CD">
        <w:t xml:space="preserve">emissions taxes and tradable permits </w:t>
      </w:r>
      <w:r w:rsidR="00AE19C3">
        <w:t xml:space="preserve">create </w:t>
      </w:r>
      <w:r w:rsidR="00A705A0">
        <w:t xml:space="preserve">this incentive because </w:t>
      </w:r>
      <w:r w:rsidR="000642CD">
        <w:t xml:space="preserve">reducing emissions implies </w:t>
      </w:r>
      <w:r w:rsidR="00DE7E10">
        <w:t xml:space="preserve">always </w:t>
      </w:r>
      <w:r w:rsidR="000642CD">
        <w:t>a reduced tax receipt</w:t>
      </w:r>
      <w:r w:rsidR="00AE19C3">
        <w:t>,</w:t>
      </w:r>
      <w:r w:rsidR="000642CD">
        <w:t xml:space="preserve"> or a reduction in the number of permits to buy.</w:t>
      </w:r>
    </w:p>
    <w:p w:rsidR="006A6570" w:rsidRDefault="002403A1" w:rsidP="005C2653">
      <w:pPr>
        <w:pStyle w:val="paragraph-chapters"/>
        <w:spacing w:line="360" w:lineRule="auto"/>
      </w:pPr>
      <w:r>
        <w:rPr>
          <w:rFonts w:cs="Arial"/>
          <w:bCs/>
          <w:kern w:val="32"/>
          <w:szCs w:val="32"/>
        </w:rPr>
        <w:t>A</w:t>
      </w:r>
      <w:r w:rsidR="00E46676">
        <w:rPr>
          <w:rFonts w:cs="Arial"/>
          <w:bCs/>
          <w:kern w:val="32"/>
          <w:szCs w:val="32"/>
        </w:rPr>
        <w:t>nother important criterion to evaluate alternative policy instruments</w:t>
      </w:r>
      <w:r w:rsidR="00CD3D23">
        <w:rPr>
          <w:rFonts w:cs="Arial"/>
          <w:bCs/>
          <w:kern w:val="32"/>
          <w:szCs w:val="32"/>
        </w:rPr>
        <w:t xml:space="preserve"> </w:t>
      </w:r>
      <w:r w:rsidR="00F652B5">
        <w:rPr>
          <w:rFonts w:cs="Arial"/>
          <w:bCs/>
          <w:kern w:val="32"/>
          <w:szCs w:val="32"/>
        </w:rPr>
        <w:t xml:space="preserve">is the </w:t>
      </w:r>
      <w:r w:rsidR="00F652B5" w:rsidRPr="006903E5">
        <w:rPr>
          <w:rFonts w:cs="Arial"/>
          <w:bCs/>
          <w:i/>
          <w:kern w:val="32"/>
          <w:szCs w:val="32"/>
        </w:rPr>
        <w:t>ea</w:t>
      </w:r>
      <w:r w:rsidR="00F652B5">
        <w:rPr>
          <w:rFonts w:cs="Arial"/>
          <w:bCs/>
          <w:i/>
          <w:kern w:val="32"/>
          <w:szCs w:val="32"/>
        </w:rPr>
        <w:t xml:space="preserve">se of monitoring and enforcement. </w:t>
      </w:r>
      <w:r w:rsidR="00F652B5">
        <w:t xml:space="preserve">This dimension refers to the issue of how costly is it to detect </w:t>
      </w:r>
      <w:r w:rsidR="001F240F">
        <w:t xml:space="preserve">and sanction </w:t>
      </w:r>
      <w:r w:rsidR="00F652B5">
        <w:t xml:space="preserve">violations with one instrument relative to the other. </w:t>
      </w:r>
      <w:r>
        <w:t>In this issue, it could be argued that economic instruments may have greater monitoring and sanctioning costs because of two reasons: one, the firms may have greater incentives to violate an economic instrument than a emission standard</w:t>
      </w:r>
      <w:r w:rsidR="00127F84">
        <w:t>, given all else equal</w:t>
      </w:r>
      <w:r>
        <w:t xml:space="preserve">; second, under economic instruments the regulator does not have only to monitor emissions but also to track tax payments or permits trades. </w:t>
      </w:r>
      <w:r w:rsidR="00FD148D">
        <w:t xml:space="preserve">What does the literature says in this respect? </w:t>
      </w:r>
      <w:r>
        <w:t>The classic models on which the abatement cost-effective argument of economic instruments relied assumed perfect compliance explicitly.</w:t>
      </w:r>
      <w:r w:rsidRPr="002403A1">
        <w:rPr>
          <w:rStyle w:val="Refdenotaalpie"/>
        </w:rPr>
        <w:t xml:space="preserve"> </w:t>
      </w:r>
      <w:r>
        <w:rPr>
          <w:rStyle w:val="Refdenotaalpie"/>
        </w:rPr>
        <w:footnoteReference w:id="6"/>
      </w:r>
      <w:r>
        <w:t xml:space="preserve"> Consequently, the economic theory behind the cost-effective argument focused only on abatement costs. More recently, </w:t>
      </w:r>
      <w:r>
        <w:lastRenderedPageBreak/>
        <w:t xml:space="preserve">environmental economists have started to pay attention to the validity of the argument stating the cost-effective superiority of economic instruments when monitoring costs are added to abatement costs (See Malik, 1992, and Chavez, Villena and Stranlund, 2008).  </w:t>
      </w:r>
      <w:r w:rsidR="006202E4">
        <w:t xml:space="preserve">These exercises show that the distribution of emissions and monitoring resources resulting from a system of tradable permits does not minimize the sum of abatement and monitoring costs of the program. Nevertheless, </w:t>
      </w:r>
      <w:r w:rsidR="00956C78">
        <w:t xml:space="preserve">it has not been shown formally that a system of emissions standards could achieve the same environmental target at less cost than a system of tradable permits with </w:t>
      </w:r>
      <w:r w:rsidR="006202E4">
        <w:t>asymmetric information</w:t>
      </w:r>
      <w:r w:rsidR="00956C78">
        <w:t>.</w:t>
      </w:r>
      <w:r w:rsidR="006202E4">
        <w:t xml:space="preserve"> </w:t>
      </w:r>
    </w:p>
    <w:p w:rsidR="006A6570" w:rsidRPr="00D923E8" w:rsidRDefault="002141A8" w:rsidP="005C2653">
      <w:pPr>
        <w:pStyle w:val="paragraph-chapters"/>
        <w:spacing w:line="360" w:lineRule="auto"/>
      </w:pPr>
      <w:r>
        <w:t>In sum, from a strictly theoretical point of view, the cost-effectiveness argument in favor of economic instruments remains a powerful one</w:t>
      </w:r>
      <w:r w:rsidR="00552044">
        <w:t>,</w:t>
      </w:r>
      <w:r>
        <w:t xml:space="preserve"> although with more subtleties than in the past. </w:t>
      </w:r>
      <w:r w:rsidR="00552044">
        <w:t xml:space="preserve">Environmental economists have </w:t>
      </w:r>
      <w:r>
        <w:t xml:space="preserve">learnt from actual experiences that the successful implementation of economic instruments depend on issues of design and implementation somewhat overlooked in the past, such as the flexibility in the timing of trading, the administrative burden, political economy considerations, and monitoring and enforcement </w:t>
      </w:r>
      <w:r w:rsidR="00B23A1F">
        <w:t xml:space="preserve">issues </w:t>
      </w:r>
      <w:r>
        <w:t xml:space="preserve">(see Stavins, 2007, Harringtonton, et al., 2004, and Hahn, 2009).  </w:t>
      </w:r>
      <w:r w:rsidR="006A6570">
        <w:t>However, the argument remains contentious (See Cole and Grossman, 1999, Russell and Vaughan, 2004).</w:t>
      </w:r>
      <w:r>
        <w:rPr>
          <w:rStyle w:val="Refdenotaalpie"/>
        </w:rPr>
        <w:footnoteReference w:id="7"/>
      </w:r>
    </w:p>
    <w:p w:rsidR="00F652B5" w:rsidRDefault="00DD5AD3" w:rsidP="005C2653">
      <w:pPr>
        <w:pStyle w:val="paragraph-chapters"/>
        <w:spacing w:line="360" w:lineRule="auto"/>
      </w:pPr>
      <w:r>
        <w:t>T</w:t>
      </w:r>
      <w:r w:rsidR="002A41F8">
        <w:t>he</w:t>
      </w:r>
      <w:r w:rsidR="002623F2">
        <w:t xml:space="preserve"> criteria reviewed above</w:t>
      </w:r>
      <w:r w:rsidR="00AF7092">
        <w:t xml:space="preserve"> do not represent</w:t>
      </w:r>
      <w:r w:rsidR="00403BFA">
        <w:t xml:space="preserve"> a complete list of criteria </w:t>
      </w:r>
      <w:r w:rsidR="00AF7092">
        <w:t xml:space="preserve">based on which </w:t>
      </w:r>
      <w:r w:rsidR="00403BFA">
        <w:t>the desirability of a specific instrument</w:t>
      </w:r>
      <w:r w:rsidR="00AF7092">
        <w:t xml:space="preserve"> is to be judged</w:t>
      </w:r>
      <w:r w:rsidR="00403BFA">
        <w:t xml:space="preserve">. </w:t>
      </w:r>
      <w:r w:rsidR="00FF7B8B">
        <w:t>They are</w:t>
      </w:r>
      <w:r w:rsidR="00AF7092">
        <w:t xml:space="preserve">, quite differently, </w:t>
      </w:r>
      <w:r w:rsidR="00FF7B8B">
        <w:t>th</w:t>
      </w:r>
      <w:r w:rsidR="00B94EB2">
        <w:t>e criteria</w:t>
      </w:r>
      <w:r w:rsidR="00FF7B8B">
        <w:t xml:space="preserve"> over which environmental economists constructed their case for economic instruments. There are other important criteria</w:t>
      </w:r>
      <w:r w:rsidR="002623F2">
        <w:t xml:space="preserve"> that are </w:t>
      </w:r>
      <w:r>
        <w:t xml:space="preserve">also </w:t>
      </w:r>
      <w:r w:rsidR="00FF7B8B">
        <w:t>recognized by environmental economists</w:t>
      </w:r>
      <w:r w:rsidR="00BB1609">
        <w:t xml:space="preserve"> (se</w:t>
      </w:r>
      <w:r w:rsidR="005A0946">
        <w:t xml:space="preserve">e for example Böhm and Russell, </w:t>
      </w:r>
      <w:r w:rsidR="00BB1609">
        <w:t>198</w:t>
      </w:r>
      <w:r w:rsidR="005A0946">
        <w:t>5</w:t>
      </w:r>
      <w:r w:rsidR="00BB1609">
        <w:t xml:space="preserve">, </w:t>
      </w:r>
      <w:r w:rsidR="005A0946">
        <w:t>Sterner, 2003, Harrington, et al. 2004</w:t>
      </w:r>
      <w:r w:rsidR="00835C3C">
        <w:t>, and Freeman and Kolstad, 2007,</w:t>
      </w:r>
      <w:r w:rsidR="005A0946">
        <w:t xml:space="preserve"> for a (non-uniform) list of these criteria</w:t>
      </w:r>
      <w:r w:rsidR="00BB1609">
        <w:t>)</w:t>
      </w:r>
      <w:r w:rsidR="002623F2">
        <w:t>. But these</w:t>
      </w:r>
      <w:r w:rsidR="00FF7B8B">
        <w:t xml:space="preserve"> have not played </w:t>
      </w:r>
      <w:r w:rsidR="002623F2">
        <w:t xml:space="preserve">as important </w:t>
      </w:r>
      <w:r w:rsidR="00FF7B8B">
        <w:t>a role as the above in the classic text-book policy recommendation</w:t>
      </w:r>
      <w:r w:rsidR="00B94EB2">
        <w:t xml:space="preserve"> in favor of economic instruments</w:t>
      </w:r>
      <w:r w:rsidR="00FF7B8B">
        <w:t xml:space="preserve">. </w:t>
      </w:r>
      <w:r w:rsidR="00243B92">
        <w:t>N</w:t>
      </w:r>
      <w:r w:rsidR="00FF7B8B">
        <w:t xml:space="preserve">ot surprisingly, </w:t>
      </w:r>
      <w:r w:rsidR="00D33ED6">
        <w:t xml:space="preserve">some of </w:t>
      </w:r>
      <w:r w:rsidR="00FF7B8B">
        <w:t xml:space="preserve">these </w:t>
      </w:r>
      <w:r w:rsidR="005B06E8">
        <w:t xml:space="preserve">other criteria </w:t>
      </w:r>
      <w:r w:rsidR="00FB71A6">
        <w:t>play</w:t>
      </w:r>
      <w:r w:rsidR="005B06E8">
        <w:t xml:space="preserve"> </w:t>
      </w:r>
      <w:r w:rsidR="00FF7B8B">
        <w:t xml:space="preserve">a fundamental role in the explanations given (sometimes by environmental </w:t>
      </w:r>
      <w:r w:rsidR="00FF7B8B">
        <w:lastRenderedPageBreak/>
        <w:t>economists themselves)</w:t>
      </w:r>
      <w:r w:rsidR="005B06E8">
        <w:t xml:space="preserve"> for the apparent puzzle </w:t>
      </w:r>
      <w:r w:rsidR="00FB71A6">
        <w:t>that represents no</w:t>
      </w:r>
      <w:r w:rsidR="00F90E4D">
        <w:t>t</w:t>
      </w:r>
      <w:r w:rsidR="00FB71A6">
        <w:t xml:space="preserve"> observing more experiences with eco</w:t>
      </w:r>
      <w:r w:rsidR="00D33ED6">
        <w:t xml:space="preserve">nomic instruments in the region, as we will see in Section </w:t>
      </w:r>
      <w:r w:rsidR="001F10EA">
        <w:t>4.</w:t>
      </w:r>
    </w:p>
    <w:p w:rsidR="00F652B5" w:rsidRDefault="00F652B5" w:rsidP="005C2653">
      <w:pPr>
        <w:pStyle w:val="paragraph-chapters"/>
        <w:spacing w:line="360" w:lineRule="auto"/>
      </w:pPr>
    </w:p>
    <w:p w:rsidR="00F652B5" w:rsidRDefault="006276DA" w:rsidP="005C2653">
      <w:pPr>
        <w:pStyle w:val="Ttulo1"/>
        <w:numPr>
          <w:ilvl w:val="0"/>
          <w:numId w:val="8"/>
        </w:numPr>
        <w:spacing w:line="360" w:lineRule="auto"/>
      </w:pPr>
      <w:bookmarkStart w:id="3" w:name="_Toc239545280"/>
      <w:r>
        <w:t>THE LATIN AMERICAN EXPERIENCE WITH ECONOMIC INSTRUMENTS</w:t>
      </w:r>
      <w:bookmarkEnd w:id="3"/>
    </w:p>
    <w:p w:rsidR="009B7531" w:rsidRDefault="00A02547" w:rsidP="005C2653">
      <w:pPr>
        <w:pStyle w:val="paragraph-chapters"/>
        <w:spacing w:line="360" w:lineRule="auto"/>
      </w:pPr>
      <w:r>
        <w:t xml:space="preserve">Past reviews of the experience of Latin American countries with economic instruments have been </w:t>
      </w:r>
      <w:r w:rsidR="00775DAE">
        <w:t>rather</w:t>
      </w:r>
      <w:r>
        <w:t xml:space="preserve"> lax with the definition of what is an economic instrument. (See, for example, Acquatella, 2001</w:t>
      </w:r>
      <w:r w:rsidR="00035A13">
        <w:t>, and the country studies cited there</w:t>
      </w:r>
      <w:r>
        <w:t>)</w:t>
      </w:r>
      <w:r w:rsidR="00775DAE">
        <w:t>.</w:t>
      </w:r>
      <w:r w:rsidR="0075120A">
        <w:t xml:space="preserve"> But if one</w:t>
      </w:r>
      <w:r w:rsidR="007904B7">
        <w:t xml:space="preserve"> includes in the list </w:t>
      </w:r>
      <w:r w:rsidR="00F71908">
        <w:t xml:space="preserve">of experiences </w:t>
      </w:r>
      <w:r w:rsidR="007904B7">
        <w:t xml:space="preserve">only </w:t>
      </w:r>
      <w:r w:rsidR="00FC1DAE">
        <w:t xml:space="preserve">those instruments that put a price on the pollution level of emissions, </w:t>
      </w:r>
      <w:r w:rsidR="00D1429D">
        <w:t>as the familiar text-book like pollution taxes and tradable permits do</w:t>
      </w:r>
      <w:r w:rsidR="007904B7">
        <w:t>, the list shrinks considerably</w:t>
      </w:r>
      <w:r w:rsidR="004628B1">
        <w:t xml:space="preserve">. </w:t>
      </w:r>
      <w:r w:rsidR="002141A8">
        <w:t>Moreover</w:t>
      </w:r>
      <w:r w:rsidR="008B2AEA">
        <w:t>,</w:t>
      </w:r>
      <w:r w:rsidR="002141A8">
        <w:t xml:space="preserve"> </w:t>
      </w:r>
      <w:r w:rsidR="008B2AEA">
        <w:t>all the programs in the list are based entirely or in part on the presumptive level of pollution, as the base for calculation of the proper charge or the permit. None of them rely entirely on continuous self-report of emission by the firms and monitoring. I will start reviewing those more closely resembling the text-book case and finish with those based entirely on presumption levels of pollution and no monitoring on the part of the regulat</w:t>
      </w:r>
      <w:r w:rsidR="00243B92">
        <w:t>or</w:t>
      </w:r>
      <w:r w:rsidR="008B2AEA">
        <w:t>.</w:t>
      </w:r>
    </w:p>
    <w:p w:rsidR="009B7531" w:rsidRDefault="009B7531" w:rsidP="005C2653">
      <w:pPr>
        <w:pStyle w:val="Ttulo2"/>
        <w:spacing w:line="360" w:lineRule="auto"/>
      </w:pPr>
      <w:bookmarkStart w:id="4" w:name="_Toc239545281"/>
      <w:r>
        <w:t>Colombia´s Discharge Fee for Water Effluents</w:t>
      </w:r>
      <w:bookmarkEnd w:id="4"/>
    </w:p>
    <w:p w:rsidR="00144F48" w:rsidRDefault="009B7531" w:rsidP="005C2653">
      <w:pPr>
        <w:pStyle w:val="paragraph-chapters"/>
        <w:spacing w:line="360" w:lineRule="auto"/>
        <w:jc w:val="both"/>
        <w:rPr>
          <w:lang w:val="en-GB"/>
        </w:rPr>
      </w:pPr>
      <w:r w:rsidRPr="009B7531">
        <w:t xml:space="preserve">Probably the most text-book like </w:t>
      </w:r>
      <w:r>
        <w:t xml:space="preserve">economic instrument implemented in the region is Colombia´s </w:t>
      </w:r>
      <w:r w:rsidR="009836B1">
        <w:t>w</w:t>
      </w:r>
      <w:r>
        <w:t xml:space="preserve">ater effluents discharge fee. </w:t>
      </w:r>
      <w:r w:rsidR="006430B4">
        <w:t xml:space="preserve">The fee </w:t>
      </w:r>
      <w:r w:rsidR="009836B1">
        <w:t>came along</w:t>
      </w:r>
      <w:r w:rsidR="006430B4">
        <w:t xml:space="preserve"> a major institutional change that occurred in Colombia at the beginning of the nineties.</w:t>
      </w:r>
      <w:r w:rsidR="007F7724">
        <w:t xml:space="preserve"> Soon after been elected, </w:t>
      </w:r>
      <w:r w:rsidR="001A44D0">
        <w:t>the new Colombian P</w:t>
      </w:r>
      <w:r w:rsidR="007F7724">
        <w:t xml:space="preserve">resident Gaviria called for a referendum for a Constitutional reform. The new </w:t>
      </w:r>
      <w:r w:rsidR="001950D6">
        <w:t>C</w:t>
      </w:r>
      <w:r w:rsidR="007F7724">
        <w:t>onstitution</w:t>
      </w:r>
      <w:r w:rsidR="001950D6">
        <w:t xml:space="preserve">, </w:t>
      </w:r>
      <w:r w:rsidR="007F7724">
        <w:t>approved in 1991</w:t>
      </w:r>
      <w:r w:rsidR="001950D6">
        <w:t>, “…</w:t>
      </w:r>
      <w:r w:rsidR="007F7724" w:rsidRPr="00386BBE">
        <w:t>included the principle of Sustainable Development as a pivotal element of the economic and social life of the country</w:t>
      </w:r>
      <w:r w:rsidR="007F7724">
        <w:t>” (Uribe, 200</w:t>
      </w:r>
      <w:r w:rsidR="00BB5542">
        <w:t>4</w:t>
      </w:r>
      <w:r w:rsidR="007F7724">
        <w:t>, pg.</w:t>
      </w:r>
      <w:r w:rsidR="004428A1">
        <w:t xml:space="preserve"> </w:t>
      </w:r>
      <w:r w:rsidR="007F7724">
        <w:t>20).</w:t>
      </w:r>
      <w:r w:rsidR="001A44D0">
        <w:t xml:space="preserve"> At the same time, a new environmental policy with major institutional </w:t>
      </w:r>
      <w:r w:rsidR="001950D6">
        <w:t xml:space="preserve">and regulatory </w:t>
      </w:r>
      <w:r w:rsidR="001A44D0">
        <w:t xml:space="preserve">changes was drafted. </w:t>
      </w:r>
      <w:r w:rsidR="006C48B6">
        <w:t>These changes incl</w:t>
      </w:r>
      <w:r w:rsidR="001A44D0">
        <w:t xml:space="preserve">uded the creation a Ministry of the Environment and the development of economic instruments. </w:t>
      </w:r>
      <w:r w:rsidR="008351DC">
        <w:t xml:space="preserve">In order to implement </w:t>
      </w:r>
      <w:r w:rsidR="00DF257A">
        <w:t>it</w:t>
      </w:r>
      <w:r w:rsidR="008351DC">
        <w:t>, the government had to get approval of the new environmental policy by the national Congress, which essentially did without major changes</w:t>
      </w:r>
      <w:r w:rsidR="00604923">
        <w:t xml:space="preserve"> (Uribe 2005)</w:t>
      </w:r>
      <w:r w:rsidR="00813099">
        <w:t>.</w:t>
      </w:r>
      <w:r w:rsidR="00604923">
        <w:t xml:space="preserve"> </w:t>
      </w:r>
      <w:r w:rsidR="008351DC">
        <w:t xml:space="preserve">The result was </w:t>
      </w:r>
      <w:r w:rsidR="00932953">
        <w:t>L</w:t>
      </w:r>
      <w:r w:rsidR="008351DC">
        <w:t xml:space="preserve">aw 99 of </w:t>
      </w:r>
      <w:r w:rsidR="00604923">
        <w:t>December 1993</w:t>
      </w:r>
      <w:r w:rsidR="008351DC">
        <w:t xml:space="preserve">. </w:t>
      </w:r>
      <w:r w:rsidR="00932953">
        <w:t xml:space="preserve">Article 42 of Law 99 established </w:t>
      </w:r>
      <w:r w:rsidR="009A168B">
        <w:t>th</w:t>
      </w:r>
      <w:r w:rsidR="00414374">
        <w:t>at</w:t>
      </w:r>
      <w:r w:rsidR="009A168B">
        <w:t xml:space="preserve"> air, water or other media emissions are subject to fees</w:t>
      </w:r>
      <w:r w:rsidR="00414374">
        <w:t xml:space="preserve"> (“tasas retributivas”)</w:t>
      </w:r>
      <w:r w:rsidR="009A168B">
        <w:t xml:space="preserve">, and that these fees are to be set by the regulators in accordance to their external </w:t>
      </w:r>
      <w:r w:rsidR="00DF257A">
        <w:t xml:space="preserve">and recovery </w:t>
      </w:r>
      <w:r w:rsidR="009A168B">
        <w:t>monetary costs.</w:t>
      </w:r>
      <w:r w:rsidR="00414374">
        <w:t xml:space="preserve"> </w:t>
      </w:r>
      <w:r w:rsidR="0030525D">
        <w:t xml:space="preserve">The fees </w:t>
      </w:r>
      <w:r w:rsidR="0030525D">
        <w:lastRenderedPageBreak/>
        <w:t xml:space="preserve">were designed to </w:t>
      </w:r>
      <w:r w:rsidR="000F71AC">
        <w:t xml:space="preserve">act as complements of emission standards. They </w:t>
      </w:r>
      <w:r w:rsidR="0030525D">
        <w:t>charge the pollution content of emission</w:t>
      </w:r>
      <w:r w:rsidR="000F71AC">
        <w:t>s</w:t>
      </w:r>
      <w:r w:rsidR="0030525D">
        <w:t xml:space="preserve"> below what is </w:t>
      </w:r>
      <w:r w:rsidR="001E52F5">
        <w:t>permi</w:t>
      </w:r>
      <w:r w:rsidR="0030525D">
        <w:t xml:space="preserve">tted by law. </w:t>
      </w:r>
      <w:r w:rsidR="00082B19">
        <w:t>E</w:t>
      </w:r>
      <w:r w:rsidR="0030525D">
        <w:t xml:space="preserve">missions above the legal standards are subject to </w:t>
      </w:r>
      <w:r w:rsidR="001E52F5">
        <w:t>sanctions.</w:t>
      </w:r>
      <w:r w:rsidR="0030525D">
        <w:t xml:space="preserve"> Article 42 also </w:t>
      </w:r>
      <w:r w:rsidR="00974AB5">
        <w:t xml:space="preserve">established that these fees could differ by watershed or region, in accordance with the institutional framework </w:t>
      </w:r>
      <w:r w:rsidR="00382635">
        <w:t>instituted</w:t>
      </w:r>
      <w:r w:rsidR="00974AB5">
        <w:t xml:space="preserve"> by Law 99, in which the national environmental policy is designed by the </w:t>
      </w:r>
      <w:r w:rsidR="00F542E8">
        <w:t>M</w:t>
      </w:r>
      <w:r w:rsidR="00974AB5">
        <w:t xml:space="preserve">inistry of the Environment but implemented by </w:t>
      </w:r>
      <w:r w:rsidR="00C94DC3">
        <w:t>Regional Autonomous Corporations (</w:t>
      </w:r>
      <w:r w:rsidR="00C94DC3">
        <w:rPr>
          <w:i/>
        </w:rPr>
        <w:t>Co</w:t>
      </w:r>
      <w:r w:rsidR="003A7886">
        <w:rPr>
          <w:i/>
        </w:rPr>
        <w:t>r</w:t>
      </w:r>
      <w:r w:rsidR="00C94DC3">
        <w:rPr>
          <w:i/>
        </w:rPr>
        <w:t>poraciones Autónom</w:t>
      </w:r>
      <w:r w:rsidR="003A7886">
        <w:rPr>
          <w:i/>
        </w:rPr>
        <w:t>a</w:t>
      </w:r>
      <w:r w:rsidR="00C94DC3">
        <w:rPr>
          <w:i/>
        </w:rPr>
        <w:t>s Regionales</w:t>
      </w:r>
      <w:r w:rsidR="00BC254E">
        <w:t>, CARs</w:t>
      </w:r>
      <w:r w:rsidR="00C94DC3" w:rsidRPr="004D370A">
        <w:t>)</w:t>
      </w:r>
      <w:r w:rsidR="00BC254E">
        <w:t xml:space="preserve"> and </w:t>
      </w:r>
      <w:r w:rsidR="00F438B9">
        <w:t xml:space="preserve">the </w:t>
      </w:r>
      <w:r w:rsidR="000D26CB">
        <w:t>E</w:t>
      </w:r>
      <w:r w:rsidR="00F66DC4">
        <w:t xml:space="preserve">nvironmental </w:t>
      </w:r>
      <w:r w:rsidR="000D26CB">
        <w:t>A</w:t>
      </w:r>
      <w:r w:rsidR="00F66DC4">
        <w:t xml:space="preserve">uthorities </w:t>
      </w:r>
      <w:r w:rsidR="00F438B9">
        <w:t>of the cities with more than a million inhabitants</w:t>
      </w:r>
      <w:r w:rsidR="000D26CB">
        <w:t xml:space="preserve"> (</w:t>
      </w:r>
      <w:r w:rsidR="000D26CB" w:rsidRPr="000D26CB">
        <w:rPr>
          <w:i/>
        </w:rPr>
        <w:t>Autoridades Ambientales de los Grandes Centros Urbanos,</w:t>
      </w:r>
      <w:r w:rsidR="000D26CB">
        <w:t xml:space="preserve"> AAUs)</w:t>
      </w:r>
      <w:r w:rsidR="00F438B9">
        <w:t xml:space="preserve">. </w:t>
      </w:r>
      <w:r w:rsidR="00F542E8">
        <w:t xml:space="preserve">Both the CARs and the AAUs are in charge also of the collection of the fees. </w:t>
      </w:r>
      <w:r w:rsidR="001A388D">
        <w:t>These fees were regulated by Decree 901 of 1997</w:t>
      </w:r>
      <w:r w:rsidR="00217842">
        <w:t xml:space="preserve">, which established </w:t>
      </w:r>
      <w:r w:rsidR="00783FEF">
        <w:t xml:space="preserve">the calculation and charge methods for </w:t>
      </w:r>
      <w:r w:rsidR="00217842">
        <w:t xml:space="preserve">discharge fees for the </w:t>
      </w:r>
      <w:r w:rsidR="009B41F5">
        <w:t>load</w:t>
      </w:r>
      <w:r w:rsidR="00217842">
        <w:t xml:space="preserve"> of </w:t>
      </w:r>
      <w:r w:rsidR="00783FEF">
        <w:t xml:space="preserve">Biochemical Oxygen Demand </w:t>
      </w:r>
      <w:r w:rsidR="00417EE3">
        <w:t>(</w:t>
      </w:r>
      <w:r w:rsidR="00217842">
        <w:t>BOD</w:t>
      </w:r>
      <w:r w:rsidR="00217842" w:rsidRPr="00783FEF">
        <w:rPr>
          <w:vertAlign w:val="subscript"/>
        </w:rPr>
        <w:t>5</w:t>
      </w:r>
      <w:r w:rsidR="00417EE3">
        <w:t xml:space="preserve">) </w:t>
      </w:r>
      <w:r w:rsidR="00217842">
        <w:t xml:space="preserve">and </w:t>
      </w:r>
      <w:r w:rsidR="00783FEF">
        <w:t>Total Suspended Solids (</w:t>
      </w:r>
      <w:r w:rsidR="00217842">
        <w:t>TSS</w:t>
      </w:r>
      <w:r w:rsidR="00783FEF">
        <w:t>)</w:t>
      </w:r>
      <w:r w:rsidR="00217842">
        <w:t xml:space="preserve"> of water effluents of point discharges</w:t>
      </w:r>
      <w:r w:rsidR="00BC3893">
        <w:t xml:space="preserve">. </w:t>
      </w:r>
      <w:r w:rsidR="007C31D8">
        <w:t xml:space="preserve">According to the decree, a </w:t>
      </w:r>
      <w:r w:rsidR="007A025F">
        <w:t>minimum</w:t>
      </w:r>
      <w:r w:rsidR="006430B4">
        <w:rPr>
          <w:lang w:val="en-GB"/>
        </w:rPr>
        <w:t xml:space="preserve"> </w:t>
      </w:r>
      <w:r w:rsidR="007A025F">
        <w:rPr>
          <w:lang w:val="en-GB"/>
        </w:rPr>
        <w:t xml:space="preserve">national </w:t>
      </w:r>
      <w:r w:rsidR="006430B4">
        <w:rPr>
          <w:lang w:val="en-GB"/>
        </w:rPr>
        <w:t xml:space="preserve">fee </w:t>
      </w:r>
      <w:r w:rsidR="007C31D8">
        <w:rPr>
          <w:lang w:val="en-GB"/>
        </w:rPr>
        <w:t xml:space="preserve">is </w:t>
      </w:r>
      <w:r w:rsidR="006430B4">
        <w:rPr>
          <w:lang w:val="en-GB"/>
        </w:rPr>
        <w:t xml:space="preserve">defined </w:t>
      </w:r>
      <w:r w:rsidR="00091E11">
        <w:rPr>
          <w:lang w:val="en-GB"/>
        </w:rPr>
        <w:t>annually</w:t>
      </w:r>
      <w:r w:rsidR="007A025F">
        <w:rPr>
          <w:lang w:val="en-GB"/>
        </w:rPr>
        <w:t xml:space="preserve"> </w:t>
      </w:r>
      <w:r w:rsidR="006430B4">
        <w:rPr>
          <w:lang w:val="en-GB"/>
        </w:rPr>
        <w:t>by the Ministry of the Environment</w:t>
      </w:r>
      <w:r w:rsidR="007A025F">
        <w:rPr>
          <w:lang w:val="en-GB"/>
        </w:rPr>
        <w:t xml:space="preserve">. </w:t>
      </w:r>
      <w:r w:rsidR="009B700B">
        <w:rPr>
          <w:lang w:val="en-GB"/>
        </w:rPr>
        <w:t xml:space="preserve">This minimum value of the fee can be adjusted upward by a “regional factor”. </w:t>
      </w:r>
      <w:r w:rsidR="00F66DC4">
        <w:rPr>
          <w:lang w:val="en-GB"/>
        </w:rPr>
        <w:t>This regional factor is set</w:t>
      </w:r>
      <w:r w:rsidR="00FD2E5A">
        <w:rPr>
          <w:lang w:val="en-GB"/>
        </w:rPr>
        <w:t xml:space="preserve"> every five years </w:t>
      </w:r>
      <w:r w:rsidR="00F66DC4">
        <w:rPr>
          <w:lang w:val="en-GB"/>
        </w:rPr>
        <w:t xml:space="preserve">by </w:t>
      </w:r>
      <w:r w:rsidR="00F542E8">
        <w:rPr>
          <w:lang w:val="en-GB"/>
        </w:rPr>
        <w:t xml:space="preserve">the </w:t>
      </w:r>
      <w:r w:rsidR="00F66DC4">
        <w:rPr>
          <w:lang w:val="en-GB"/>
        </w:rPr>
        <w:t xml:space="preserve">CARs and </w:t>
      </w:r>
      <w:r w:rsidR="00D83348">
        <w:rPr>
          <w:lang w:val="en-GB"/>
        </w:rPr>
        <w:t>AAUs</w:t>
      </w:r>
      <w:r w:rsidR="00F66DC4">
        <w:rPr>
          <w:lang w:val="en-GB"/>
        </w:rPr>
        <w:t xml:space="preserve"> and adjusted every six months if the </w:t>
      </w:r>
      <w:r w:rsidR="0000456E">
        <w:rPr>
          <w:lang w:val="en-GB"/>
        </w:rPr>
        <w:t>observed</w:t>
      </w:r>
      <w:r w:rsidR="00F66DC4">
        <w:rPr>
          <w:lang w:val="en-GB"/>
        </w:rPr>
        <w:t xml:space="preserve"> pollution reduction is below the targeted pollution reduction for the </w:t>
      </w:r>
      <w:r w:rsidR="00790500">
        <w:rPr>
          <w:lang w:val="en-GB"/>
        </w:rPr>
        <w:t xml:space="preserve">river, </w:t>
      </w:r>
      <w:r w:rsidR="00F66DC4">
        <w:rPr>
          <w:lang w:val="en-GB"/>
        </w:rPr>
        <w:t>watershed, region or city</w:t>
      </w:r>
      <w:r w:rsidR="00F542E8">
        <w:rPr>
          <w:lang w:val="en-GB"/>
        </w:rPr>
        <w:t xml:space="preserve">, also set by the CARs and AAUs by a participatory process with different stakeholders. </w:t>
      </w:r>
      <w:r w:rsidR="00586617">
        <w:rPr>
          <w:lang w:val="en-GB"/>
        </w:rPr>
        <w:t xml:space="preserve">The information on pollution </w:t>
      </w:r>
      <w:r w:rsidR="00AA6C98">
        <w:rPr>
          <w:lang w:val="en-GB"/>
        </w:rPr>
        <w:t xml:space="preserve">used </w:t>
      </w:r>
      <w:r w:rsidR="00586617">
        <w:rPr>
          <w:lang w:val="en-GB"/>
        </w:rPr>
        <w:t xml:space="preserve">to calculate the fees </w:t>
      </w:r>
      <w:r w:rsidR="00C373C3">
        <w:rPr>
          <w:lang w:val="en-GB"/>
        </w:rPr>
        <w:t>are</w:t>
      </w:r>
      <w:r w:rsidR="00586617">
        <w:rPr>
          <w:lang w:val="en-GB"/>
        </w:rPr>
        <w:t xml:space="preserve"> based on self-reports by the sources. </w:t>
      </w:r>
      <w:r w:rsidR="0060589A">
        <w:rPr>
          <w:lang w:val="en-GB"/>
        </w:rPr>
        <w:t xml:space="preserve">Municipal sewage </w:t>
      </w:r>
      <w:r w:rsidR="00464C32">
        <w:rPr>
          <w:lang w:val="en-GB"/>
        </w:rPr>
        <w:t>companies</w:t>
      </w:r>
      <w:r w:rsidR="00C373C3">
        <w:rPr>
          <w:lang w:val="en-GB"/>
        </w:rPr>
        <w:t xml:space="preserve"> could report emissions based on presumptive levels. </w:t>
      </w:r>
    </w:p>
    <w:p w:rsidR="00F8620B" w:rsidRPr="0002032C" w:rsidRDefault="009D3886" w:rsidP="005C2653">
      <w:pPr>
        <w:pStyle w:val="paragraph-chapters"/>
        <w:spacing w:line="360" w:lineRule="auto"/>
        <w:jc w:val="both"/>
      </w:pPr>
      <w:r>
        <w:rPr>
          <w:lang w:val="en-GB"/>
        </w:rPr>
        <w:t xml:space="preserve">One </w:t>
      </w:r>
      <w:r w:rsidR="00C01F4C">
        <w:rPr>
          <w:lang w:val="en-GB"/>
        </w:rPr>
        <w:t>of the many implementation</w:t>
      </w:r>
      <w:r>
        <w:rPr>
          <w:lang w:val="en-GB"/>
        </w:rPr>
        <w:t xml:space="preserve"> problems of the </w:t>
      </w:r>
      <w:r w:rsidR="0000456E">
        <w:rPr>
          <w:lang w:val="en-GB"/>
        </w:rPr>
        <w:t>discharge</w:t>
      </w:r>
      <w:r>
        <w:rPr>
          <w:lang w:val="en-GB"/>
        </w:rPr>
        <w:t xml:space="preserve"> fees was the rampant noncompliance of one of the most importan</w:t>
      </w:r>
      <w:r w:rsidR="00C01F4C">
        <w:rPr>
          <w:lang w:val="en-GB"/>
        </w:rPr>
        <w:t>t type of</w:t>
      </w:r>
      <w:r>
        <w:rPr>
          <w:lang w:val="en-GB"/>
        </w:rPr>
        <w:t xml:space="preserve"> polluters, the municipal se</w:t>
      </w:r>
      <w:r w:rsidR="00C01F4C">
        <w:rPr>
          <w:lang w:val="en-GB"/>
        </w:rPr>
        <w:t>w</w:t>
      </w:r>
      <w:r>
        <w:rPr>
          <w:lang w:val="en-GB"/>
        </w:rPr>
        <w:t>age companies (Blackman, 2009). Noncompliance by these companies caused the fee to increase</w:t>
      </w:r>
      <w:r w:rsidR="00C01F4C">
        <w:rPr>
          <w:lang w:val="en-GB"/>
        </w:rPr>
        <w:t xml:space="preserve"> without limit, which triggered the lobby of industrial sources who complaint that they were paying for the noncompliance of the municipal authorities. This </w:t>
      </w:r>
      <w:r w:rsidR="00B726D9">
        <w:rPr>
          <w:lang w:val="en-GB"/>
        </w:rPr>
        <w:t>political</w:t>
      </w:r>
      <w:r w:rsidR="008852C6">
        <w:rPr>
          <w:lang w:val="en-GB"/>
        </w:rPr>
        <w:t xml:space="preserve"> </w:t>
      </w:r>
      <w:r w:rsidR="00C01F4C">
        <w:rPr>
          <w:lang w:val="en-GB"/>
        </w:rPr>
        <w:t xml:space="preserve">situation is </w:t>
      </w:r>
      <w:r w:rsidR="003266BA">
        <w:rPr>
          <w:lang w:val="en-GB"/>
        </w:rPr>
        <w:t>essential</w:t>
      </w:r>
      <w:r w:rsidR="00C01F4C">
        <w:rPr>
          <w:lang w:val="en-GB"/>
        </w:rPr>
        <w:t xml:space="preserve"> to understand why in</w:t>
      </w:r>
      <w:r w:rsidR="002958AD">
        <w:rPr>
          <w:lang w:val="en-GB"/>
        </w:rPr>
        <w:t xml:space="preserve"> </w:t>
      </w:r>
      <w:r w:rsidR="000C5BBB">
        <w:rPr>
          <w:lang w:val="en-GB"/>
        </w:rPr>
        <w:t>2003</w:t>
      </w:r>
      <w:r w:rsidR="002958AD">
        <w:rPr>
          <w:lang w:val="en-GB"/>
        </w:rPr>
        <w:t xml:space="preserve"> the new President Uribe </w:t>
      </w:r>
      <w:r w:rsidR="00EE4868">
        <w:rPr>
          <w:lang w:val="en-GB"/>
        </w:rPr>
        <w:t xml:space="preserve">repealed the Decree 901 with </w:t>
      </w:r>
      <w:r w:rsidR="0060589A">
        <w:rPr>
          <w:lang w:val="en-GB"/>
        </w:rPr>
        <w:t xml:space="preserve">a new </w:t>
      </w:r>
      <w:r w:rsidR="00EE4868">
        <w:rPr>
          <w:lang w:val="en-GB"/>
        </w:rPr>
        <w:t xml:space="preserve">Decree </w:t>
      </w:r>
      <w:r w:rsidR="00E434F3">
        <w:rPr>
          <w:lang w:val="en-GB"/>
        </w:rPr>
        <w:t>3100</w:t>
      </w:r>
      <w:r w:rsidR="00D31DDA">
        <w:rPr>
          <w:lang w:val="en-GB"/>
        </w:rPr>
        <w:t>,</w:t>
      </w:r>
      <w:r w:rsidR="003266BA">
        <w:rPr>
          <w:lang w:val="en-GB"/>
        </w:rPr>
        <w:t xml:space="preserve"> and the changes intr</w:t>
      </w:r>
      <w:r w:rsidR="000C5BBB">
        <w:rPr>
          <w:lang w:val="en-GB"/>
        </w:rPr>
        <w:t>o</w:t>
      </w:r>
      <w:r w:rsidR="003266BA">
        <w:rPr>
          <w:lang w:val="en-GB"/>
        </w:rPr>
        <w:t>duced by this (later modified by Decree 3440 of 2004</w:t>
      </w:r>
      <w:r w:rsidR="000C5BBB">
        <w:rPr>
          <w:lang w:val="en-GB"/>
        </w:rPr>
        <w:t>)</w:t>
      </w:r>
      <w:r w:rsidR="00EE4868">
        <w:t>.</w:t>
      </w:r>
      <w:r w:rsidR="00E75D83">
        <w:t xml:space="preserve"> Essentially, the</w:t>
      </w:r>
      <w:r w:rsidR="00D31DDA">
        <w:t>se</w:t>
      </w:r>
      <w:r w:rsidR="00E75D83">
        <w:t xml:space="preserve"> changes are: (a) </w:t>
      </w:r>
      <w:r w:rsidR="0060589A">
        <w:t xml:space="preserve">It mandated </w:t>
      </w:r>
      <w:r w:rsidR="00E75D83">
        <w:t xml:space="preserve">the CARs and AAUs to </w:t>
      </w:r>
      <w:r w:rsidR="0060589A">
        <w:t xml:space="preserve">establish </w:t>
      </w:r>
      <w:r w:rsidR="004D3433">
        <w:t>(</w:t>
      </w:r>
      <w:r w:rsidR="004D3433" w:rsidRPr="004D3433">
        <w:rPr>
          <w:i/>
        </w:rPr>
        <w:t>i</w:t>
      </w:r>
      <w:r w:rsidR="004D3433">
        <w:t xml:space="preserve">) </w:t>
      </w:r>
      <w:r w:rsidR="00E75D83">
        <w:t xml:space="preserve">individual targets of pollution reduction for </w:t>
      </w:r>
      <w:r w:rsidR="0060589A">
        <w:t xml:space="preserve">municipal sewage </w:t>
      </w:r>
      <w:r w:rsidR="00D36A2E">
        <w:t>companies</w:t>
      </w:r>
      <w:r w:rsidR="0060589A">
        <w:t xml:space="preserve"> </w:t>
      </w:r>
      <w:r w:rsidR="00E75D83">
        <w:t>and for sources whose loads are more tha</w:t>
      </w:r>
      <w:r w:rsidR="00B74414">
        <w:t>n</w:t>
      </w:r>
      <w:r w:rsidR="00E75D83">
        <w:t xml:space="preserve"> a fifth of the total loads received by the water body</w:t>
      </w:r>
      <w:r w:rsidR="004D3433">
        <w:t>, and (</w:t>
      </w:r>
      <w:r w:rsidR="004D3433" w:rsidRPr="004D3433">
        <w:rPr>
          <w:i/>
        </w:rPr>
        <w:t>ii</w:t>
      </w:r>
      <w:r w:rsidR="004D3433">
        <w:t xml:space="preserve">) group targets for the rest of the sources, according to the </w:t>
      </w:r>
      <w:r w:rsidR="004D3433">
        <w:lastRenderedPageBreak/>
        <w:t>group’s type</w:t>
      </w:r>
      <w:r w:rsidR="009A2578">
        <w:t xml:space="preserve"> (industrial branch, etc.)</w:t>
      </w:r>
      <w:r w:rsidR="004D3433">
        <w:t xml:space="preserve">;  (b) </w:t>
      </w:r>
      <w:r w:rsidR="0060589A">
        <w:t xml:space="preserve">It mandated the CARs and AAUs to </w:t>
      </w:r>
      <w:r w:rsidR="00370455">
        <w:t xml:space="preserve">ask the municipal sewage </w:t>
      </w:r>
      <w:r w:rsidR="00D36A2E">
        <w:t>companies</w:t>
      </w:r>
      <w:r w:rsidR="00370455">
        <w:t xml:space="preserve"> </w:t>
      </w:r>
      <w:r w:rsidR="0060589A">
        <w:t>to present a Plan for Pollution Management</w:t>
      </w:r>
      <w:r w:rsidR="00D36A2E">
        <w:t xml:space="preserve"> in accordance with the pollution reduction target</w:t>
      </w:r>
      <w:r w:rsidR="0013133C">
        <w:t xml:space="preserve">; and (c) it changed the method by which the fee is adjusted. First, the adjustment is now annual, instead of every six months. </w:t>
      </w:r>
      <w:r w:rsidR="00F8620B">
        <w:t>Accor</w:t>
      </w:r>
      <w:r w:rsidR="0013133C">
        <w:t xml:space="preserve">dingly, sources have to report </w:t>
      </w:r>
      <w:r w:rsidR="003C3A1C">
        <w:t xml:space="preserve">once a year, instead of two, as before. </w:t>
      </w:r>
      <w:r w:rsidR="00F8620B">
        <w:t>Second, the calculations of the pollution load relative to the target in the regulated river or watershed leave aside the pollution load of municipal</w:t>
      </w:r>
      <w:r w:rsidR="0060589A">
        <w:t xml:space="preserve"> </w:t>
      </w:r>
      <w:r w:rsidR="00F8620B">
        <w:t>sewage</w:t>
      </w:r>
      <w:r w:rsidR="00D36A2E">
        <w:t xml:space="preserve"> companies</w:t>
      </w:r>
      <w:r w:rsidR="00F8620B">
        <w:t>. That is, as before</w:t>
      </w:r>
      <w:r w:rsidR="0002032C">
        <w:t xml:space="preserve">, the fee </w:t>
      </w:r>
      <m:oMath>
        <m:sSub>
          <m:sSubPr>
            <m:ctrlPr>
              <w:rPr>
                <w:rFonts w:ascii="Cambria Math" w:hAnsi="Cambria Math"/>
                <w:i/>
              </w:rPr>
            </m:ctrlPr>
          </m:sSubPr>
          <m:e>
            <m:r>
              <w:rPr>
                <w:rFonts w:ascii="Cambria Math" w:hAnsi="Cambria Math"/>
              </w:rPr>
              <m:t>TR</m:t>
            </m:r>
          </m:e>
          <m:sub>
            <m:r>
              <w:rPr>
                <w:rFonts w:ascii="Cambria Math" w:hAnsi="Cambria Math"/>
              </w:rPr>
              <m:t>j</m:t>
            </m:r>
          </m:sub>
        </m:sSub>
        <m:r>
          <w:rPr>
            <w:rFonts w:ascii="Cambria Math" w:hAnsi="Cambria Math"/>
          </w:rPr>
          <m:t xml:space="preserve"> </m:t>
        </m:r>
      </m:oMath>
      <w:r w:rsidR="0002032C">
        <w:t xml:space="preserve">for the pollutant </w:t>
      </w:r>
      <w:r w:rsidR="0002032C">
        <w:rPr>
          <w:i/>
        </w:rPr>
        <w:t xml:space="preserve">j </w:t>
      </w:r>
      <w:r w:rsidR="0002032C">
        <w:t xml:space="preserve">is </w:t>
      </w:r>
    </w:p>
    <w:p w:rsidR="00F8620B" w:rsidRDefault="00B92BC7" w:rsidP="005C2653">
      <w:pPr>
        <w:pStyle w:val="paragraph-chapters"/>
        <w:spacing w:line="360" w:lineRule="auto"/>
        <w:jc w:val="center"/>
      </w:pPr>
      <m:oMathPara>
        <m:oMath>
          <m:sSub>
            <m:sSubPr>
              <m:ctrlPr>
                <w:rPr>
                  <w:rFonts w:ascii="Cambria Math" w:hAnsi="Cambria Math"/>
                  <w:i/>
                </w:rPr>
              </m:ctrlPr>
            </m:sSubPr>
            <m:e>
              <m:r>
                <w:rPr>
                  <w:rFonts w:ascii="Cambria Math" w:hAnsi="Cambria Math"/>
                </w:rPr>
                <m:t>TR</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TM</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FR</m:t>
              </m:r>
            </m:e>
            <m:sub>
              <m:r>
                <w:rPr>
                  <w:rFonts w:ascii="Cambria Math" w:hAnsi="Cambria Math"/>
                </w:rPr>
                <m:t>j</m:t>
              </m:r>
            </m:sub>
          </m:sSub>
        </m:oMath>
      </m:oMathPara>
    </w:p>
    <w:p w:rsidR="00E27569" w:rsidRDefault="0002032C" w:rsidP="005C2653">
      <w:pPr>
        <w:pStyle w:val="paragraph-chapters"/>
        <w:spacing w:line="360" w:lineRule="auto"/>
        <w:jc w:val="both"/>
      </w:pPr>
      <w:r>
        <w:t xml:space="preserve">where </w:t>
      </w:r>
      <m:oMath>
        <m:sSub>
          <m:sSubPr>
            <m:ctrlPr>
              <w:rPr>
                <w:rFonts w:ascii="Cambria Math" w:hAnsi="Cambria Math"/>
                <w:i/>
              </w:rPr>
            </m:ctrlPr>
          </m:sSubPr>
          <m:e>
            <m:r>
              <w:rPr>
                <w:rFonts w:ascii="Cambria Math" w:hAnsi="Cambria Math"/>
              </w:rPr>
              <m:t>TM</m:t>
            </m:r>
          </m:e>
          <m:sub>
            <m:r>
              <w:rPr>
                <w:rFonts w:ascii="Cambria Math" w:hAnsi="Cambria Math"/>
              </w:rPr>
              <m:t>j</m:t>
            </m:r>
          </m:sub>
        </m:sSub>
      </m:oMath>
      <w:r>
        <w:t xml:space="preserve"> is the national minimum fee</w:t>
      </w:r>
      <w:r w:rsidR="00E27569">
        <w:t xml:space="preserve"> </w:t>
      </w:r>
      <w:r>
        <w:t xml:space="preserve">and </w:t>
      </w:r>
      <m:oMath>
        <m:sSub>
          <m:sSubPr>
            <m:ctrlPr>
              <w:rPr>
                <w:rFonts w:ascii="Cambria Math" w:hAnsi="Cambria Math"/>
                <w:i/>
              </w:rPr>
            </m:ctrlPr>
          </m:sSubPr>
          <m:e>
            <m:r>
              <w:rPr>
                <w:rFonts w:ascii="Cambria Math" w:hAnsi="Cambria Math"/>
              </w:rPr>
              <m:t>FR</m:t>
            </m:r>
          </m:e>
          <m:sub>
            <m:r>
              <w:rPr>
                <w:rFonts w:ascii="Cambria Math" w:hAnsi="Cambria Math"/>
              </w:rPr>
              <m:t>j</m:t>
            </m:r>
          </m:sub>
        </m:sSub>
      </m:oMath>
      <w:r>
        <w:t xml:space="preserve"> is the regional factor of adjustment</w:t>
      </w:r>
      <w:r w:rsidR="00E27569">
        <w:t xml:space="preserve">, but now the regional factor of adjustment </w:t>
      </w:r>
      <w:r w:rsidR="00353FEF">
        <w:t xml:space="preserve">for a given pollutant </w:t>
      </w:r>
      <w:r w:rsidR="00E27569">
        <w:t>is calculated according to the following formula;</w:t>
      </w:r>
    </w:p>
    <w:p w:rsidR="00E27569" w:rsidRDefault="00B92BC7" w:rsidP="005C2653">
      <w:pPr>
        <w:pStyle w:val="paragraph-chapters"/>
        <w:spacing w:line="360" w:lineRule="auto"/>
        <w:jc w:val="center"/>
      </w:pPr>
      <m:oMathPara>
        <m:oMath>
          <m:sSub>
            <m:sSubPr>
              <m:ctrlPr>
                <w:rPr>
                  <w:rFonts w:ascii="Cambria Math" w:hAnsi="Cambria Math"/>
                  <w:i/>
                </w:rPr>
              </m:ctrlPr>
            </m:sSubPr>
            <m:e>
              <m:r>
                <w:rPr>
                  <w:rFonts w:ascii="Cambria Math" w:hAnsi="Cambria Math"/>
                </w:rPr>
                <m:t>FR</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FR</m:t>
              </m:r>
            </m:e>
            <m:sub>
              <m:r>
                <w:rPr>
                  <w:rFonts w:ascii="Cambria Math" w:hAnsi="Cambria Math"/>
                </w:rPr>
                <m:t>t-1</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Cc-CcM</m:t>
                  </m:r>
                </m:e>
              </m:d>
            </m:num>
            <m:den>
              <m:d>
                <m:dPr>
                  <m:ctrlPr>
                    <w:rPr>
                      <w:rFonts w:ascii="Cambria Math" w:hAnsi="Cambria Math"/>
                      <w:i/>
                    </w:rPr>
                  </m:ctrlPr>
                </m:dPr>
                <m:e>
                  <m:r>
                    <w:rPr>
                      <w:rFonts w:ascii="Cambria Math" w:hAnsi="Cambria Math"/>
                    </w:rPr>
                    <m:t>CcL-CcM</m:t>
                  </m:r>
                </m:e>
              </m:d>
            </m:den>
          </m:f>
        </m:oMath>
      </m:oMathPara>
    </w:p>
    <w:p w:rsidR="006B189A" w:rsidRDefault="006B189A" w:rsidP="005C2653">
      <w:pPr>
        <w:pStyle w:val="paragraph-chapters"/>
        <w:spacing w:line="360" w:lineRule="auto"/>
        <w:jc w:val="both"/>
      </w:pPr>
      <w:r>
        <w:t xml:space="preserve">where, </w:t>
      </w:r>
    </w:p>
    <w:p w:rsidR="00F512A0" w:rsidRDefault="00B92BC7" w:rsidP="005C2653">
      <w:pPr>
        <w:pStyle w:val="paragraph-chapters"/>
        <w:spacing w:line="360" w:lineRule="auto"/>
        <w:jc w:val="both"/>
      </w:pPr>
      <m:oMath>
        <m:sSub>
          <m:sSubPr>
            <m:ctrlPr>
              <w:rPr>
                <w:rFonts w:ascii="Cambria Math" w:hAnsi="Cambria Math"/>
                <w:i/>
              </w:rPr>
            </m:ctrlPr>
          </m:sSubPr>
          <m:e>
            <m:r>
              <w:rPr>
                <w:rFonts w:ascii="Cambria Math" w:hAnsi="Cambria Math"/>
              </w:rPr>
              <m:t>FR</m:t>
            </m:r>
          </m:e>
          <m:sub>
            <m:r>
              <w:rPr>
                <w:rFonts w:ascii="Cambria Math" w:hAnsi="Cambria Math"/>
              </w:rPr>
              <m:t>t</m:t>
            </m:r>
          </m:sub>
        </m:sSub>
      </m:oMath>
      <w:r w:rsidR="006B793B">
        <w:t xml:space="preserve">: regional factor in year </w:t>
      </w:r>
      <w:r w:rsidR="006B793B">
        <w:rPr>
          <w:i/>
        </w:rPr>
        <w:t>t</w:t>
      </w:r>
      <w:r w:rsidR="002738F4">
        <w:rPr>
          <w:i/>
        </w:rPr>
        <w:t xml:space="preserve"> </w:t>
      </w:r>
      <w:r w:rsidR="002738F4">
        <w:t xml:space="preserve">for pollutant </w:t>
      </w:r>
      <w:r w:rsidR="002738F4">
        <w:rPr>
          <w:i/>
        </w:rPr>
        <w:t>j</w:t>
      </w:r>
      <w:r w:rsidR="006B793B">
        <w:rPr>
          <w:i/>
        </w:rPr>
        <w:t xml:space="preserve">, </w:t>
      </w:r>
      <m:oMath>
        <m:sSub>
          <m:sSubPr>
            <m:ctrlPr>
              <w:rPr>
                <w:rFonts w:ascii="Cambria Math" w:hAnsi="Cambria Math"/>
                <w:i/>
              </w:rPr>
            </m:ctrlPr>
          </m:sSubPr>
          <m:e>
            <m:r>
              <w:rPr>
                <w:rFonts w:ascii="Cambria Math" w:hAnsi="Cambria Math"/>
              </w:rPr>
              <m:t>FR</m:t>
            </m:r>
          </m:e>
          <m:sub>
            <m:r>
              <w:rPr>
                <w:rFonts w:ascii="Cambria Math" w:hAnsi="Cambria Math"/>
              </w:rPr>
              <m:t>t-1</m:t>
            </m:r>
          </m:sub>
        </m:sSub>
      </m:oMath>
      <w:r w:rsidR="006B793B">
        <w:t xml:space="preserve">: regional factor in year </w:t>
      </w:r>
      <w:r w:rsidR="006B793B">
        <w:rPr>
          <w:i/>
        </w:rPr>
        <w:t>t-</w:t>
      </w:r>
      <w:r w:rsidR="006B793B" w:rsidRPr="006B793B">
        <w:t>1</w:t>
      </w:r>
      <w:r w:rsidR="002738F4">
        <w:t xml:space="preserve"> for pollutant </w:t>
      </w:r>
      <w:r w:rsidR="002738F4">
        <w:rPr>
          <w:i/>
        </w:rPr>
        <w:t>j</w:t>
      </w:r>
      <w:r w:rsidR="006B793B">
        <w:t xml:space="preserve">, </w:t>
      </w:r>
      <w:r w:rsidR="006B793B" w:rsidRPr="006B793B">
        <w:rPr>
          <w:i/>
        </w:rPr>
        <w:t>Cc</w:t>
      </w:r>
      <w:r w:rsidR="006B793B">
        <w:t xml:space="preserve">: </w:t>
      </w:r>
      <w:r w:rsidR="00D36A2E">
        <w:t xml:space="preserve">Total kilograms of pollutant </w:t>
      </w:r>
      <w:r w:rsidR="00D36A2E">
        <w:rPr>
          <w:i/>
        </w:rPr>
        <w:t xml:space="preserve">j </w:t>
      </w:r>
      <w:r w:rsidR="00D36A2E">
        <w:t xml:space="preserve">emitted by all regulated sources </w:t>
      </w:r>
      <w:r w:rsidR="002738F4">
        <w:t>except</w:t>
      </w:r>
      <w:r w:rsidR="00D36A2E">
        <w:t xml:space="preserve"> municipal sewage companies in the year </w:t>
      </w:r>
      <w:r w:rsidR="00D36A2E">
        <w:rPr>
          <w:i/>
        </w:rPr>
        <w:t xml:space="preserve">t </w:t>
      </w:r>
      <w:r w:rsidR="00D36A2E">
        <w:t xml:space="preserve">– 1, </w:t>
      </w:r>
      <w:r w:rsidR="0034330A">
        <w:rPr>
          <w:i/>
        </w:rPr>
        <w:t>CcM</w:t>
      </w:r>
      <w:r w:rsidR="0034330A" w:rsidRPr="0034330A">
        <w:t>:</w:t>
      </w:r>
      <w:r w:rsidR="0034330A">
        <w:rPr>
          <w:i/>
        </w:rPr>
        <w:t xml:space="preserve"> </w:t>
      </w:r>
      <w:r w:rsidR="0034330A">
        <w:t>the pollution load target</w:t>
      </w:r>
      <w:r w:rsidR="008D1820">
        <w:t xml:space="preserve"> for pollutant </w:t>
      </w:r>
      <w:r w:rsidR="008D1820">
        <w:rPr>
          <w:i/>
        </w:rPr>
        <w:t xml:space="preserve">j </w:t>
      </w:r>
      <w:r w:rsidR="00C60FF7">
        <w:t>(Kg./year)</w:t>
      </w:r>
      <w:r w:rsidR="0034330A">
        <w:t xml:space="preserve"> set for the watershed, discounting the pollution load of municipal sewage companies; </w:t>
      </w:r>
      <m:oMath>
        <m:r>
          <w:rPr>
            <w:rFonts w:ascii="Cambria Math" w:hAnsi="Cambria Math"/>
          </w:rPr>
          <m:t>CcL</m:t>
        </m:r>
      </m:oMath>
      <w:r w:rsidR="00F74E9C">
        <w:t xml:space="preserve">: total kilograms of pollutant </w:t>
      </w:r>
      <w:r w:rsidR="00F74E9C">
        <w:rPr>
          <w:i/>
        </w:rPr>
        <w:t xml:space="preserve">j </w:t>
      </w:r>
      <w:r w:rsidR="00F74E9C">
        <w:t xml:space="preserve">emitted by all regulated sources in the watershed that are not municipal sewage companies </w:t>
      </w:r>
      <w:r w:rsidR="004C4BC0">
        <w:t>at the beginning of the five-year period</w:t>
      </w:r>
      <w:r w:rsidR="00F74E9C">
        <w:t xml:space="preserve">. </w:t>
      </w:r>
    </w:p>
    <w:p w:rsidR="008D1820" w:rsidRPr="00D853EA" w:rsidRDefault="008D1820" w:rsidP="005C2653">
      <w:pPr>
        <w:pStyle w:val="paragraph-chapters"/>
        <w:spacing w:line="360" w:lineRule="auto"/>
        <w:jc w:val="both"/>
      </w:pPr>
      <w:r>
        <w:t>Also, the adjustment of the fee calculated as above</w:t>
      </w:r>
      <w:r w:rsidR="003F6803">
        <w:t xml:space="preserve"> covers only those sources that did not comply with the corresponding individ</w:t>
      </w:r>
      <w:r w:rsidR="00C60989">
        <w:t>ual pollution reduction target</w:t>
      </w:r>
      <w:r w:rsidR="00C4638B">
        <w:t xml:space="preserve">. Therefore, the fee cannot necessarily be the same for all sources. </w:t>
      </w:r>
      <w:r w:rsidR="00CA3D45">
        <w:t xml:space="preserve">Finally, the adjustment factor </w:t>
      </w:r>
      <w:r w:rsidR="00C60989">
        <w:t xml:space="preserve">has a maximum value </w:t>
      </w:r>
      <w:r w:rsidR="00CA3D45">
        <w:t xml:space="preserve">of </w:t>
      </w:r>
      <w:r w:rsidR="00C60989">
        <w:t>5.5.</w:t>
      </w:r>
      <w:r w:rsidR="00D853EA">
        <w:t xml:space="preserve"> if the target is met in the five year period, the value of the </w:t>
      </w:r>
      <w:r w:rsidR="00D853EA" w:rsidRPr="00D853EA">
        <w:rPr>
          <w:i/>
        </w:rPr>
        <w:t>FR</w:t>
      </w:r>
      <w:r w:rsidR="00D853EA">
        <w:rPr>
          <w:i/>
        </w:rPr>
        <w:t xml:space="preserve"> </w:t>
      </w:r>
      <w:r w:rsidR="00D853EA">
        <w:t xml:space="preserve">is 1 at the beginning of the next period. If not, the value of the </w:t>
      </w:r>
      <w:r w:rsidR="00D853EA">
        <w:rPr>
          <w:i/>
        </w:rPr>
        <w:t xml:space="preserve">FR </w:t>
      </w:r>
      <w:r w:rsidR="00D853EA">
        <w:t>is equal to the value of the previous period.</w:t>
      </w:r>
    </w:p>
    <w:p w:rsidR="00F512A0" w:rsidRDefault="00F512A0" w:rsidP="005C2653">
      <w:pPr>
        <w:pStyle w:val="Ttulo2"/>
        <w:spacing w:line="360" w:lineRule="auto"/>
      </w:pPr>
      <w:bookmarkStart w:id="5" w:name="_Toc239545282"/>
      <w:r>
        <w:t xml:space="preserve">Costa Rica´s </w:t>
      </w:r>
      <w:r w:rsidRPr="00F512A0">
        <w:t xml:space="preserve">Environmental </w:t>
      </w:r>
      <w:r>
        <w:t>Fee</w:t>
      </w:r>
      <w:r w:rsidRPr="00F512A0">
        <w:t xml:space="preserve"> for Discharges</w:t>
      </w:r>
      <w:bookmarkEnd w:id="5"/>
    </w:p>
    <w:p w:rsidR="006E68E5" w:rsidRDefault="00BE1EFE" w:rsidP="005C2653">
      <w:pPr>
        <w:pStyle w:val="paragraph-chapters"/>
        <w:spacing w:line="360" w:lineRule="auto"/>
        <w:jc w:val="both"/>
      </w:pPr>
      <w:r>
        <w:t>A</w:t>
      </w:r>
      <w:r w:rsidR="007C5849">
        <w:t xml:space="preserve">lmost six years after the first version of the Executive Decree instituting a fee for discharges was published, Costa Rica finally implemented </w:t>
      </w:r>
      <w:r w:rsidR="002C7DD5">
        <w:t>it</w:t>
      </w:r>
      <w:r w:rsidR="007C5849">
        <w:t xml:space="preserve"> in </w:t>
      </w:r>
      <w:r>
        <w:t xml:space="preserve">October 2008 and </w:t>
      </w:r>
      <w:r>
        <w:lastRenderedPageBreak/>
        <w:t xml:space="preserve">started collecting fees in </w:t>
      </w:r>
      <w:r w:rsidR="007C5849">
        <w:t>January 2009</w:t>
      </w:r>
      <w:r w:rsidR="00165187">
        <w:rPr>
          <w:rStyle w:val="Refdenotaalpie"/>
        </w:rPr>
        <w:footnoteReference w:id="8"/>
      </w:r>
      <w:r w:rsidR="007C5849">
        <w:t xml:space="preserve">. </w:t>
      </w:r>
      <w:r w:rsidR="004A0532">
        <w:t xml:space="preserve">In </w:t>
      </w:r>
      <w:r w:rsidR="00433676">
        <w:t>its</w:t>
      </w:r>
      <w:r w:rsidR="004A0532">
        <w:t xml:space="preserve"> final version</w:t>
      </w:r>
      <w:r w:rsidR="00510CAB">
        <w:t xml:space="preserve"> (Executive Decr</w:t>
      </w:r>
      <w:r w:rsidR="002C7DD5">
        <w:t>e</w:t>
      </w:r>
      <w:r w:rsidR="00510CAB">
        <w:t xml:space="preserve">e #34431), Costa Rica´s Environmental Fee for Discharges </w:t>
      </w:r>
      <w:r w:rsidR="00247AC8">
        <w:t xml:space="preserve">puts a price on the kilograms of </w:t>
      </w:r>
      <w:r w:rsidR="00775DAE">
        <w:t>COD (Chemical O</w:t>
      </w:r>
      <w:r w:rsidR="00510CAB">
        <w:t xml:space="preserve">xygen </w:t>
      </w:r>
      <w:r w:rsidR="00775DAE">
        <w:t>D</w:t>
      </w:r>
      <w:r w:rsidR="00510CAB">
        <w:t xml:space="preserve">emand) and TSS (Total </w:t>
      </w:r>
      <w:r w:rsidR="00775DAE">
        <w:t>S</w:t>
      </w:r>
      <w:r w:rsidR="00510CAB">
        <w:t xml:space="preserve">uspended </w:t>
      </w:r>
      <w:r w:rsidR="00775DAE">
        <w:t>S</w:t>
      </w:r>
      <w:r w:rsidR="00510CAB">
        <w:t>olids)</w:t>
      </w:r>
      <w:r w:rsidR="00247AC8">
        <w:t xml:space="preserve"> discharged per quarter</w:t>
      </w:r>
      <w:r w:rsidR="00846F70">
        <w:t>-year</w:t>
      </w:r>
      <w:r w:rsidR="00510CAB">
        <w:t xml:space="preserve">. </w:t>
      </w:r>
      <w:r w:rsidR="002051D9">
        <w:t>The fee</w:t>
      </w:r>
      <w:r w:rsidR="00370BC0">
        <w:t xml:space="preserve"> does not substitute the previous emission standards, but complements them</w:t>
      </w:r>
      <w:r w:rsidR="00441544">
        <w:t xml:space="preserve"> in the following way</w:t>
      </w:r>
      <w:r w:rsidR="00370BC0">
        <w:t xml:space="preserve">. </w:t>
      </w:r>
      <w:r w:rsidR="00195079">
        <w:t xml:space="preserve">The fee is </w:t>
      </w:r>
      <w:r w:rsidR="00441544">
        <w:t xml:space="preserve">actually </w:t>
      </w:r>
      <w:r w:rsidR="00195079">
        <w:t>a</w:t>
      </w:r>
      <w:r w:rsidR="004A0532">
        <w:t xml:space="preserve"> three-part tariff</w:t>
      </w:r>
      <w:r w:rsidR="00195079">
        <w:t xml:space="preserve">, with segments defined by the concentration level </w:t>
      </w:r>
      <w:r w:rsidR="00195079">
        <w:rPr>
          <w:i/>
        </w:rPr>
        <w:t xml:space="preserve">Cj </w:t>
      </w:r>
      <w:r w:rsidR="00195079">
        <w:t xml:space="preserve">of the pollutant </w:t>
      </w:r>
      <w:r w:rsidR="00195079" w:rsidRPr="00DD5A29">
        <w:rPr>
          <w:i/>
        </w:rPr>
        <w:t>j</w:t>
      </w:r>
      <w:r w:rsidR="00DD5A29">
        <w:t xml:space="preserve"> </w:t>
      </w:r>
      <w:r w:rsidR="00195079" w:rsidRPr="00DD5A29">
        <w:t>in</w:t>
      </w:r>
      <w:r w:rsidR="00195079">
        <w:t xml:space="preserve"> the source’s</w:t>
      </w:r>
      <w:r w:rsidR="00370BC0">
        <w:t xml:space="preserve"> effluents</w:t>
      </w:r>
      <w:r w:rsidR="00441544">
        <w:t xml:space="preserve"> relatively to the ambient concentration of the pollutant in the water body at the point of discharge (</w:t>
      </w:r>
      <w:r w:rsidR="00441544">
        <w:rPr>
          <w:i/>
        </w:rPr>
        <w:t>Ca</w:t>
      </w:r>
      <w:r w:rsidR="00441544" w:rsidRPr="00137CFC">
        <w:rPr>
          <w:i/>
          <w:vertAlign w:val="subscript"/>
        </w:rPr>
        <w:t>j</w:t>
      </w:r>
      <w:r w:rsidR="00441544">
        <w:t>) and the maximum allowable level of discharge (</w:t>
      </w:r>
      <w:r w:rsidR="00441544">
        <w:rPr>
          <w:i/>
        </w:rPr>
        <w:t>Cp</w:t>
      </w:r>
      <w:r w:rsidR="00441544" w:rsidRPr="00137CFC">
        <w:rPr>
          <w:i/>
          <w:vertAlign w:val="subscript"/>
        </w:rPr>
        <w:t>j</w:t>
      </w:r>
      <w:r w:rsidR="00441544">
        <w:t>, the standard)</w:t>
      </w:r>
      <w:r w:rsidR="00247AC8">
        <w:t xml:space="preserve">. </w:t>
      </w:r>
      <w:r w:rsidR="00846F70">
        <w:t xml:space="preserve">The source pays no fee for the emitted kilograms of COD and TSS </w:t>
      </w:r>
      <w:r w:rsidR="008F7321">
        <w:t xml:space="preserve">if </w:t>
      </w:r>
      <w:r w:rsidR="008F7321">
        <w:rPr>
          <w:i/>
        </w:rPr>
        <w:t xml:space="preserve">Cj </w:t>
      </w:r>
      <w:r w:rsidR="008F7321">
        <w:t xml:space="preserve">&lt; </w:t>
      </w:r>
      <w:r w:rsidR="008F7321">
        <w:rPr>
          <w:i/>
        </w:rPr>
        <w:t>Ca</w:t>
      </w:r>
      <w:r w:rsidR="008F7321" w:rsidRPr="00137CFC">
        <w:rPr>
          <w:i/>
          <w:vertAlign w:val="subscript"/>
        </w:rPr>
        <w:t>j</w:t>
      </w:r>
      <w:r w:rsidR="00077709">
        <w:t>; i</w:t>
      </w:r>
      <w:r w:rsidR="008D6177">
        <w:t>t pays</w:t>
      </w:r>
      <w:r w:rsidR="00EC3055">
        <w:t xml:space="preserve"> </w:t>
      </w:r>
      <w:r w:rsidR="00077709">
        <w:t xml:space="preserve">a </w:t>
      </w:r>
      <w:r w:rsidR="00EC3055">
        <w:t xml:space="preserve">fee </w:t>
      </w:r>
      <w:r w:rsidR="00077709">
        <w:t>of</w:t>
      </w:r>
      <w:r w:rsidR="00EC3055">
        <w:t xml:space="preserve"> $0.22</w:t>
      </w:r>
      <w:r w:rsidR="007F1938">
        <w:t>×0.75</w:t>
      </w:r>
      <w:r w:rsidR="00EC3055">
        <w:t xml:space="preserve"> and $0.19</w:t>
      </w:r>
      <w:r w:rsidR="007F1938">
        <w:t>×0.75</w:t>
      </w:r>
      <w:r w:rsidR="00195079">
        <w:t>, respectively,</w:t>
      </w:r>
      <w:r w:rsidR="00EC3055">
        <w:t xml:space="preserve"> per kilogram of COD and TSS</w:t>
      </w:r>
      <w:r w:rsidR="00195079">
        <w:t xml:space="preserve"> emitted </w:t>
      </w:r>
      <w:r w:rsidR="00BE1904">
        <w:t>if the concentration level of the pollutant is above that of the receiving water body at the point of discharge, but below the standard</w:t>
      </w:r>
      <w:r w:rsidR="001A01D8">
        <w:t xml:space="preserve">, </w:t>
      </w:r>
      <w:r w:rsidR="00195079">
        <w:rPr>
          <w:i/>
        </w:rPr>
        <w:t>Ca</w:t>
      </w:r>
      <w:r w:rsidR="00195079" w:rsidRPr="00137CFC">
        <w:rPr>
          <w:i/>
          <w:vertAlign w:val="subscript"/>
        </w:rPr>
        <w:t>j</w:t>
      </w:r>
      <w:r w:rsidR="00585C53">
        <w:t xml:space="preserve"> &lt; </w:t>
      </w:r>
      <w:r w:rsidR="00585C53">
        <w:rPr>
          <w:i/>
        </w:rPr>
        <w:t>Cj &lt;</w:t>
      </w:r>
      <w:r w:rsidR="00585C53" w:rsidRPr="00585C53">
        <w:rPr>
          <w:i/>
        </w:rPr>
        <w:t xml:space="preserve"> </w:t>
      </w:r>
      <w:r w:rsidR="00585C53">
        <w:rPr>
          <w:i/>
        </w:rPr>
        <w:t>Cp</w:t>
      </w:r>
      <w:r w:rsidR="00585C53" w:rsidRPr="00585C53">
        <w:rPr>
          <w:i/>
          <w:vertAlign w:val="subscript"/>
        </w:rPr>
        <w:t>j</w:t>
      </w:r>
      <w:r w:rsidR="00D80AC7">
        <w:t>.</w:t>
      </w:r>
      <w:r w:rsidR="00BA5A01">
        <w:t xml:space="preserve"> </w:t>
      </w:r>
      <w:r w:rsidR="00D80AC7">
        <w:t>F</w:t>
      </w:r>
      <w:r w:rsidR="00BA5A01">
        <w:t xml:space="preserve">inally, </w:t>
      </w:r>
      <w:r w:rsidR="00A943C6">
        <w:t xml:space="preserve">if </w:t>
      </w:r>
      <w:r w:rsidR="007F1938">
        <w:rPr>
          <w:i/>
        </w:rPr>
        <w:t>Cj</w:t>
      </w:r>
      <w:r w:rsidR="00137CFC">
        <w:rPr>
          <w:i/>
        </w:rPr>
        <w:t xml:space="preserve"> &gt; Cp</w:t>
      </w:r>
      <w:r w:rsidR="00137CFC" w:rsidRPr="00137CFC">
        <w:rPr>
          <w:i/>
          <w:vertAlign w:val="subscript"/>
        </w:rPr>
        <w:t>j</w:t>
      </w:r>
      <w:r w:rsidR="00137CFC">
        <w:rPr>
          <w:i/>
        </w:rPr>
        <w:t xml:space="preserve">, </w:t>
      </w:r>
      <w:r w:rsidR="007F1938">
        <w:t>the</w:t>
      </w:r>
      <w:r w:rsidR="00A943C6">
        <w:t xml:space="preserve"> total fee </w:t>
      </w:r>
      <w:r w:rsidR="00BA5A01">
        <w:t xml:space="preserve">paid by the source </w:t>
      </w:r>
      <w:r w:rsidR="00A943C6">
        <w:t>is the sum of a</w:t>
      </w:r>
      <w:r w:rsidR="007F1938">
        <w:t xml:space="preserve"> fee </w:t>
      </w:r>
      <w:r w:rsidR="00A943C6">
        <w:t>of</w:t>
      </w:r>
      <w:r w:rsidR="007F1938">
        <w:t xml:space="preserve"> $0.22 </w:t>
      </w:r>
      <w:r w:rsidR="000D0E9B">
        <w:t>and $0.19, respectively, per kilogram of COD and TSS emitted corresponding to the concentration level</w:t>
      </w:r>
      <w:r w:rsidR="00A943C6">
        <w:t xml:space="preserve">s </w:t>
      </w:r>
      <w:r w:rsidR="00F87031">
        <w:t xml:space="preserve">in the interval </w:t>
      </w:r>
      <w:r w:rsidR="00A943C6">
        <w:t>(</w:t>
      </w:r>
      <w:r w:rsidR="00A943C6">
        <w:rPr>
          <w:i/>
        </w:rPr>
        <w:t>Cp</w:t>
      </w:r>
      <w:r w:rsidR="00A943C6" w:rsidRPr="00585C53">
        <w:rPr>
          <w:i/>
          <w:vertAlign w:val="subscript"/>
        </w:rPr>
        <w:t>j</w:t>
      </w:r>
      <w:r w:rsidR="00F87031">
        <w:rPr>
          <w:i/>
          <w:vertAlign w:val="subscript"/>
        </w:rPr>
        <w:t xml:space="preserve"> </w:t>
      </w:r>
      <w:r w:rsidR="00ED5082">
        <w:rPr>
          <w:i/>
        </w:rPr>
        <w:t>-</w:t>
      </w:r>
      <w:r w:rsidR="00F87031">
        <w:rPr>
          <w:i/>
        </w:rPr>
        <w:t xml:space="preserve"> </w:t>
      </w:r>
      <w:r w:rsidR="00A943C6">
        <w:rPr>
          <w:i/>
        </w:rPr>
        <w:t>Ca</w:t>
      </w:r>
      <w:r w:rsidR="00A943C6" w:rsidRPr="00137CFC">
        <w:rPr>
          <w:i/>
          <w:vertAlign w:val="subscript"/>
        </w:rPr>
        <w:t>j</w:t>
      </w:r>
      <w:r w:rsidR="00EB21C2">
        <w:t>)</w:t>
      </w:r>
      <w:r w:rsidR="000D0E9B">
        <w:t xml:space="preserve">, plus $0.22×3.5 and $0.19×3.5, respectively, per kilogram of COD and TSS emitted corresponding to the concentration level in excess of the standard </w:t>
      </w:r>
      <w:r w:rsidR="00137CFC" w:rsidRPr="000D0E9B">
        <w:t>(</w:t>
      </w:r>
      <w:r w:rsidR="00137CFC">
        <w:rPr>
          <w:i/>
        </w:rPr>
        <w:t>C</w:t>
      </w:r>
      <w:r w:rsidR="00137CFC" w:rsidRPr="000D0E9B">
        <w:rPr>
          <w:i/>
          <w:vertAlign w:val="subscript"/>
        </w:rPr>
        <w:t>j</w:t>
      </w:r>
      <w:r w:rsidR="00137CFC">
        <w:rPr>
          <w:i/>
        </w:rPr>
        <w:t xml:space="preserve"> - Cp</w:t>
      </w:r>
      <w:r w:rsidR="00137CFC" w:rsidRPr="00137CFC">
        <w:rPr>
          <w:i/>
          <w:vertAlign w:val="subscript"/>
        </w:rPr>
        <w:t>j</w:t>
      </w:r>
      <w:r w:rsidR="000D0E9B">
        <w:t xml:space="preserve">). </w:t>
      </w:r>
    </w:p>
    <w:p w:rsidR="00051985" w:rsidRDefault="000D0E9B" w:rsidP="005C2653">
      <w:pPr>
        <w:pStyle w:val="paragraph-chapters"/>
        <w:spacing w:line="360" w:lineRule="auto"/>
        <w:jc w:val="both"/>
      </w:pPr>
      <w:r>
        <w:t>T</w:t>
      </w:r>
      <w:r w:rsidR="002977EC">
        <w:t xml:space="preserve">he fee </w:t>
      </w:r>
      <w:r>
        <w:t>is</w:t>
      </w:r>
      <w:r w:rsidR="002977EC">
        <w:t xml:space="preserve"> applicable onl</w:t>
      </w:r>
      <w:r>
        <w:t>y to point-sources of pollution</w:t>
      </w:r>
      <w:r w:rsidR="002977EC">
        <w:t xml:space="preserve">. </w:t>
      </w:r>
      <w:r>
        <w:t>In order to calculate the fee, the ministry of the environment asks each source to repor</w:t>
      </w:r>
      <w:r w:rsidR="00EB21C2">
        <w:t>t emissions once a year. I</w:t>
      </w:r>
      <w:r>
        <w:t>f the source does not report emissions, the government can estimate the source´s presumptive emission levels</w:t>
      </w:r>
      <w:r w:rsidR="002977EC">
        <w:t xml:space="preserve"> </w:t>
      </w:r>
      <w:r>
        <w:t xml:space="preserve">using past reports, number of employees, level of production, </w:t>
      </w:r>
      <w:r w:rsidR="00B551AA">
        <w:t xml:space="preserve">inputs used, </w:t>
      </w:r>
      <w:r>
        <w:t xml:space="preserve">the source’s branch, </w:t>
      </w:r>
      <w:r w:rsidR="00B551AA">
        <w:t xml:space="preserve">or bibliographical references. </w:t>
      </w:r>
      <w:r w:rsidR="00522926">
        <w:t>Because the program is</w:t>
      </w:r>
      <w:r w:rsidR="00FD43D2">
        <w:t xml:space="preserve"> new, </w:t>
      </w:r>
      <w:r w:rsidR="006C10AC">
        <w:t xml:space="preserve">there is no </w:t>
      </w:r>
      <w:r w:rsidR="00FD43D2">
        <w:t>analysis of its performance, yet.</w:t>
      </w:r>
    </w:p>
    <w:p w:rsidR="00051985" w:rsidRDefault="00051985" w:rsidP="005C2653">
      <w:pPr>
        <w:pStyle w:val="Ttulo2"/>
        <w:spacing w:line="360" w:lineRule="auto"/>
      </w:pPr>
      <w:bookmarkStart w:id="6" w:name="_Toc239545283"/>
      <w:r>
        <w:t>Santiago de Chile´s Emissions Compensation Program</w:t>
      </w:r>
      <w:bookmarkEnd w:id="6"/>
    </w:p>
    <w:p w:rsidR="00416DB2" w:rsidRDefault="00416DB2" w:rsidP="005C2653">
      <w:pPr>
        <w:pStyle w:val="paragraph-chapters"/>
        <w:spacing w:line="360" w:lineRule="auto"/>
      </w:pPr>
      <w:r>
        <w:t xml:space="preserve">In March 1992, the Supreme Decree No. 4 transformed Chile in the first Latin American country, and </w:t>
      </w:r>
      <w:r w:rsidR="00CC7974">
        <w:t xml:space="preserve">second non-OECD country, after Singapore, </w:t>
      </w:r>
      <w:r>
        <w:t xml:space="preserve">to implement a </w:t>
      </w:r>
      <w:r w:rsidR="00470B61">
        <w:t>tradable permits</w:t>
      </w:r>
      <w:r>
        <w:t xml:space="preserve"> program to control air pollution. The program, named the Emissions Compensation Program, was designed to control total suspended particles </w:t>
      </w:r>
      <w:r w:rsidR="003E6F46">
        <w:t>(TSP) emissions from fixed</w:t>
      </w:r>
      <w:r>
        <w:t xml:space="preserve"> sources in Santiago. </w:t>
      </w:r>
      <w:r w:rsidR="00021C90">
        <w:t>The market bec</w:t>
      </w:r>
      <w:r w:rsidR="00E12748">
        <w:t>a</w:t>
      </w:r>
      <w:r w:rsidR="00021C90">
        <w:t>me operational in 1993</w:t>
      </w:r>
      <w:r w:rsidR="00CB1044">
        <w:t xml:space="preserve"> and </w:t>
      </w:r>
      <w:r w:rsidR="00CB1044">
        <w:lastRenderedPageBreak/>
        <w:t>compliance became mandatory in 1994 (Montero et al., 2002)</w:t>
      </w:r>
      <w:r w:rsidR="00021C90">
        <w:t xml:space="preserve">. </w:t>
      </w:r>
      <w:r>
        <w:t>It is worth noting that Chilean program is contemporaneous to the U.S. 1990 amendments to the Clean Air Act that established the Sulfur Dioxide (S0</w:t>
      </w:r>
      <w:r w:rsidRPr="00F65EA2">
        <w:rPr>
          <w:vertAlign w:val="subscript"/>
        </w:rPr>
        <w:t>2</w:t>
      </w:r>
      <w:r>
        <w:t>) Allowance Trading Program, who’s Phase I started in 1995, and to the Regional Clean Air Incentives program (RECLAIM), which started in 1994.</w:t>
      </w:r>
    </w:p>
    <w:p w:rsidR="00E12748" w:rsidRDefault="00801A55" w:rsidP="005C2653">
      <w:pPr>
        <w:pStyle w:val="paragraph-chapters"/>
        <w:spacing w:line="360" w:lineRule="auto"/>
      </w:pPr>
      <w:r>
        <w:t xml:space="preserve">The sources covered by the Chilean Emissions Compensation Program </w:t>
      </w:r>
      <w:r w:rsidR="00A42C21">
        <w:t xml:space="preserve">(ECP) </w:t>
      </w:r>
      <w:r>
        <w:t xml:space="preserve">are industrial, domestic and other boilers </w:t>
      </w:r>
      <w:r w:rsidR="00A42C21">
        <w:t xml:space="preserve">in the metropolitan area of Santiago </w:t>
      </w:r>
      <w:r>
        <w:t xml:space="preserve">with a maximum flowing capacity </w:t>
      </w:r>
      <w:r w:rsidR="008210AC">
        <w:t>greater than</w:t>
      </w:r>
      <w:r>
        <w:t xml:space="preserve"> </w:t>
      </w:r>
      <w:r w:rsidRPr="00801A55">
        <w:t>1</w:t>
      </w:r>
      <w:r>
        <w:t>,</w:t>
      </w:r>
      <w:r w:rsidRPr="00801A55">
        <w:t>000 m</w:t>
      </w:r>
      <w:r w:rsidRPr="00801A55">
        <w:rPr>
          <w:vertAlign w:val="superscript"/>
        </w:rPr>
        <w:t>3</w:t>
      </w:r>
      <w:r w:rsidRPr="00801A55">
        <w:t>/h</w:t>
      </w:r>
      <w:r>
        <w:t>our</w:t>
      </w:r>
      <w:r w:rsidR="00A42C21">
        <w:t xml:space="preserve"> by March 1992</w:t>
      </w:r>
      <w:r>
        <w:t>.</w:t>
      </w:r>
      <w:r w:rsidR="002F64A4">
        <w:t xml:space="preserve"> </w:t>
      </w:r>
      <w:r w:rsidR="00A42C21">
        <w:t xml:space="preserve">The emission permits in Santiago´s ECP are not actually emissions permits in the classic sense, but emission capacity permits. </w:t>
      </w:r>
      <w:r w:rsidR="002E761B">
        <w:t xml:space="preserve">This maximum capacity was estimated by the authorities multiplying the maximum volumetric flow of the source </w:t>
      </w:r>
      <w:r w:rsidR="001E712A">
        <w:t xml:space="preserve">(in m3) </w:t>
      </w:r>
      <w:r w:rsidR="002E761B">
        <w:t>by an estimated concentration of TSP/m3. The estimated co</w:t>
      </w:r>
      <w:r w:rsidR="001E712A">
        <w:t>ncentration was not source-</w:t>
      </w:r>
      <w:r w:rsidR="002E761B">
        <w:t>specific but an estimated aver</w:t>
      </w:r>
      <w:r w:rsidR="003C2925">
        <w:t>age</w:t>
      </w:r>
      <w:r w:rsidR="002E761B">
        <w:t xml:space="preserve"> over all sources.</w:t>
      </w:r>
      <w:r w:rsidR="003325DC">
        <w:t xml:space="preserve"> This estimated concentration was adjusted from 56 mg/m3 to 50 mg/m3 in 2000</w:t>
      </w:r>
      <w:r w:rsidR="00EE5E01">
        <w:t>, and again to 32 mg/m3 in 2005 (Coria and Sterner, 2008).</w:t>
      </w:r>
      <w:r w:rsidR="00284AC4">
        <w:t xml:space="preserve"> Th</w:t>
      </w:r>
      <w:r w:rsidR="001E712A">
        <w:t>e permits granted to the</w:t>
      </w:r>
      <w:r w:rsidR="00284AC4">
        <w:t xml:space="preserve"> original sources covered by the program were called Initial Daily Emissions (IDE). Each IDE grants the owner a permission to have the capacity to emit one kilogram of TSP per day. </w:t>
      </w:r>
      <w:r w:rsidR="00FA20A7">
        <w:t>New sources entering the program have to “compensate” for their emission capacity buy</w:t>
      </w:r>
      <w:r w:rsidR="00156997">
        <w:t>ing</w:t>
      </w:r>
      <w:r w:rsidR="00FA20A7">
        <w:t xml:space="preserve"> IDEs to one or more of the existing sources. If the regulator approves this “compensation”, it grants an equivalent number of permits to the new source. (</w:t>
      </w:r>
      <w:r w:rsidR="00F7406A">
        <w:t>The new sources´ permits are c</w:t>
      </w:r>
      <w:r w:rsidR="00FA20A7">
        <w:t>alled Permitted Daily Emissions</w:t>
      </w:r>
      <w:r w:rsidR="00F03782">
        <w:t xml:space="preserve"> (PDE)</w:t>
      </w:r>
      <w:r w:rsidR="00FA20A7">
        <w:t xml:space="preserve">, but </w:t>
      </w:r>
      <w:r w:rsidR="00F7406A">
        <w:t xml:space="preserve">are </w:t>
      </w:r>
      <w:r w:rsidR="00FA20A7">
        <w:t>equivalent in all sense to the IDEs of the original sources).</w:t>
      </w:r>
      <w:r w:rsidR="00F7406A">
        <w:t xml:space="preserve"> Both</w:t>
      </w:r>
      <w:r w:rsidR="00F03782">
        <w:t xml:space="preserve"> type</w:t>
      </w:r>
      <w:r w:rsidR="004C337D">
        <w:t>s</w:t>
      </w:r>
      <w:r w:rsidR="00F03782">
        <w:t xml:space="preserve"> of permits allow the </w:t>
      </w:r>
      <w:r w:rsidR="00156997">
        <w:t>boiler’</w:t>
      </w:r>
      <w:r w:rsidR="005D4ED0">
        <w:t>s ope</w:t>
      </w:r>
      <w:r w:rsidR="00156997">
        <w:t>rator</w:t>
      </w:r>
      <w:r w:rsidR="00F03782">
        <w:t xml:space="preserve"> to legally have the capacity to emit one kilogram of TSP per day in perpetuity. </w:t>
      </w:r>
    </w:p>
    <w:p w:rsidR="006D0B4C" w:rsidRDefault="00311D9B" w:rsidP="005C2653">
      <w:pPr>
        <w:pStyle w:val="paragraph-chapters"/>
        <w:spacing w:line="360" w:lineRule="auto"/>
      </w:pPr>
      <w:r>
        <w:t xml:space="preserve">The enforcement of the program is based on an annual self-report of the daily emission capacity of the source, which has to be below the number of permits that holds. </w:t>
      </w:r>
      <w:r w:rsidR="00EE148D">
        <w:t xml:space="preserve">The source does not actually measure its emission capacity itself but instead it has to hire an accredited laboratory to do this job, which is the one actually presenting the report to the authorities. The regulator then conducts inspections on both the sources and the laboratories to check for the emissions capacity reports and the laboratory equipment characteristics. </w:t>
      </w:r>
    </w:p>
    <w:p w:rsidR="00A848AC" w:rsidRDefault="00A848AC" w:rsidP="005C2653">
      <w:pPr>
        <w:pStyle w:val="paragraph-chapters"/>
        <w:spacing w:line="360" w:lineRule="auto"/>
      </w:pPr>
      <w:r>
        <w:lastRenderedPageBreak/>
        <w:t>A</w:t>
      </w:r>
      <w:r w:rsidR="002E3049">
        <w:t xml:space="preserve">s it is the case also in Colombia´s and Costa Rica´s discharge fee programs, </w:t>
      </w:r>
      <w:r>
        <w:t xml:space="preserve">in spite of being operating in a market of emission capacity permits, the regulated plants </w:t>
      </w:r>
      <w:r w:rsidR="002E3049">
        <w:t xml:space="preserve">in Santiago’s ECP </w:t>
      </w:r>
      <w:r>
        <w:t xml:space="preserve">were also subject to an emission standard of 122 mg/m3. Emitting above this concentration level is illegal, independently of the number of permits hold. So the Santiago’s ECP is another example of an economic instrument that does </w:t>
      </w:r>
      <w:r w:rsidR="00513AFF">
        <w:t xml:space="preserve">not </w:t>
      </w:r>
      <w:r>
        <w:t xml:space="preserve">substitute a previous emission standard, but complements it. </w:t>
      </w:r>
    </w:p>
    <w:p w:rsidR="007A6818" w:rsidRDefault="006F221D" w:rsidP="005C2653">
      <w:pPr>
        <w:pStyle w:val="Ttulo2"/>
        <w:spacing w:line="360" w:lineRule="auto"/>
      </w:pPr>
      <w:bookmarkStart w:id="7" w:name="_Toc239545284"/>
      <w:r>
        <w:t>Other E</w:t>
      </w:r>
      <w:r w:rsidR="000B2D8F">
        <w:t xml:space="preserve">xperiences with </w:t>
      </w:r>
      <w:r w:rsidR="00AF51A2">
        <w:t>Emission Compensations</w:t>
      </w:r>
      <w:r w:rsidR="000B2D8F">
        <w:t xml:space="preserve"> in Chile</w:t>
      </w:r>
      <w:bookmarkEnd w:id="7"/>
    </w:p>
    <w:p w:rsidR="005C1A71" w:rsidRDefault="000B2D8F" w:rsidP="005C2653">
      <w:pPr>
        <w:pStyle w:val="paragraph-chapters"/>
        <w:spacing w:line="360" w:lineRule="auto"/>
      </w:pPr>
      <w:r>
        <w:t xml:space="preserve">Apart from the well known ECP, Chile has recently implemented </w:t>
      </w:r>
      <w:r w:rsidR="00A142B7">
        <w:t>an</w:t>
      </w:r>
      <w:r>
        <w:t xml:space="preserve"> emission</w:t>
      </w:r>
      <w:r w:rsidR="00B27B6A">
        <w:t xml:space="preserve"> compensation program for big industrial sources of NOx emissions</w:t>
      </w:r>
      <w:r w:rsidR="00D709D3">
        <w:t xml:space="preserve"> in the Metropolitan Santiago</w:t>
      </w:r>
      <w:r w:rsidR="00B27B6A">
        <w:t xml:space="preserve">. </w:t>
      </w:r>
      <w:r w:rsidR="00053BFA">
        <w:t>This program assigned for the year 2007 a cap of emissions of NOx that is 66% of the aggreg</w:t>
      </w:r>
      <w:r w:rsidR="00CF67BC">
        <w:t>ate estimated emissions of 1997</w:t>
      </w:r>
      <w:r w:rsidR="000627FE">
        <w:t xml:space="preserve">. This cap was designed to be reduced by 50% in 2010 to comply with the Metropolitan Area Decontamination Plan </w:t>
      </w:r>
      <w:r w:rsidR="00053BFA">
        <w:t>(</w:t>
      </w:r>
      <w:r w:rsidR="00AB1C58">
        <w:t>Calfucura</w:t>
      </w:r>
      <w:r w:rsidR="00053BFA">
        <w:t>, et al. 2008).</w:t>
      </w:r>
      <w:r w:rsidR="00CF67BC">
        <w:t xml:space="preserve"> </w:t>
      </w:r>
      <w:r w:rsidR="00A142B7">
        <w:t>Not exactly a tradable permits program, the authorities of the Metropolitan Area of Santiago implemented also another program in which new investment projects not complying with certain emission limits are obliged to compensate their emissions in a 100% with that of existing sources in order to pass the Environmental Impact Asses</w:t>
      </w:r>
      <w:r w:rsidR="00532C05">
        <w:t>s</w:t>
      </w:r>
      <w:r w:rsidR="00A142B7">
        <w:t xml:space="preserve">ment. </w:t>
      </w:r>
    </w:p>
    <w:p w:rsidR="008D6F44" w:rsidRDefault="008D6F44" w:rsidP="005C2653">
      <w:pPr>
        <w:pStyle w:val="Ttulo2"/>
        <w:spacing w:line="360" w:lineRule="auto"/>
      </w:pPr>
      <w:bookmarkStart w:id="8" w:name="_Toc239545285"/>
      <w:r>
        <w:t>Other programs</w:t>
      </w:r>
      <w:bookmarkEnd w:id="8"/>
    </w:p>
    <w:p w:rsidR="00A67000" w:rsidRDefault="00C97D05" w:rsidP="005C2653">
      <w:pPr>
        <w:pStyle w:val="paragraph-chapters"/>
        <w:spacing w:line="360" w:lineRule="auto"/>
        <w:jc w:val="both"/>
      </w:pPr>
      <w:r>
        <w:t xml:space="preserve">Other </w:t>
      </w:r>
      <w:r w:rsidR="00421CC4">
        <w:t xml:space="preserve">pollution control </w:t>
      </w:r>
      <w:r>
        <w:t>programs</w:t>
      </w:r>
      <w:r w:rsidR="00A32E79">
        <w:t xml:space="preserve"> </w:t>
      </w:r>
      <w:r w:rsidR="00421CC4">
        <w:t xml:space="preserve">implemented in Latin America, and frequently cited as experiences with economic instruments in the region, are somewhat different from the classic text-book like economic instrument. An example is </w:t>
      </w:r>
      <w:r w:rsidR="00F71908">
        <w:t xml:space="preserve">the State of </w:t>
      </w:r>
      <w:r w:rsidR="006E301E">
        <w:t>S</w:t>
      </w:r>
      <w:r w:rsidR="00F71908">
        <w:t>ao</w:t>
      </w:r>
      <w:r w:rsidR="006E301E">
        <w:t xml:space="preserve"> Pablo</w:t>
      </w:r>
      <w:r w:rsidR="00F71908">
        <w:t>’s industrial effluents charge in</w:t>
      </w:r>
      <w:r w:rsidR="00421CC4">
        <w:t xml:space="preserve"> Brazil</w:t>
      </w:r>
      <w:r w:rsidR="00F71908">
        <w:t>. Implemented in 1981 b</w:t>
      </w:r>
      <w:r w:rsidR="008B1903">
        <w:t>y a law passed in 1977, the</w:t>
      </w:r>
      <w:r w:rsidR="00F71908">
        <w:t xml:space="preserve"> charge was designed only as price to cover the costs of </w:t>
      </w:r>
      <w:r w:rsidR="008B1903">
        <w:t>the treatment of industrial effluents by the state’s water and sanitation company</w:t>
      </w:r>
      <w:r w:rsidR="00F71908">
        <w:t xml:space="preserve"> (</w:t>
      </w:r>
      <w:r w:rsidR="00D54610">
        <w:t xml:space="preserve">de </w:t>
      </w:r>
      <w:r w:rsidR="00F71908">
        <w:t xml:space="preserve">Gusmao, 2000). </w:t>
      </w:r>
      <w:r w:rsidR="00B90643">
        <w:t xml:space="preserve">The </w:t>
      </w:r>
      <w:r w:rsidR="001C7607">
        <w:t xml:space="preserve">amount of the </w:t>
      </w:r>
      <w:r w:rsidR="00B90643">
        <w:t>charge depend</w:t>
      </w:r>
      <w:r w:rsidR="001C7607">
        <w:t>s</w:t>
      </w:r>
      <w:r w:rsidR="00B90643">
        <w:t xml:space="preserve"> on a theoretical level of pollution, </w:t>
      </w:r>
      <w:r w:rsidR="00A67000">
        <w:t>calculated as a function of t</w:t>
      </w:r>
      <w:r w:rsidR="00B90643">
        <w:t xml:space="preserve">he industry sector, but not on the actual level of pollution. </w:t>
      </w:r>
    </w:p>
    <w:p w:rsidR="00E141AB" w:rsidRDefault="001C7607" w:rsidP="005C2653">
      <w:pPr>
        <w:pStyle w:val="paragraph-chapters"/>
        <w:spacing w:line="360" w:lineRule="auto"/>
        <w:jc w:val="both"/>
      </w:pPr>
      <w:r>
        <w:t xml:space="preserve">Another example is </w:t>
      </w:r>
      <w:r w:rsidR="006E301E">
        <w:t xml:space="preserve">the </w:t>
      </w:r>
      <w:r w:rsidR="008C3EAF">
        <w:t xml:space="preserve">water charge implemented in the </w:t>
      </w:r>
      <w:r w:rsidR="00264E26">
        <w:t xml:space="preserve">Brazilian </w:t>
      </w:r>
      <w:r w:rsidR="006E301E">
        <w:t xml:space="preserve">Paraiba do Sul </w:t>
      </w:r>
      <w:r w:rsidR="008C3EAF">
        <w:t xml:space="preserve">river basin since March 2003 </w:t>
      </w:r>
      <w:r w:rsidR="006E301E">
        <w:t>(</w:t>
      </w:r>
      <w:r w:rsidR="00C57449">
        <w:t>Braga, et al., 2005; Lanna, 2003</w:t>
      </w:r>
      <w:r w:rsidR="006E301E">
        <w:t>).</w:t>
      </w:r>
      <w:r w:rsidR="00794CE1">
        <w:t xml:space="preserve"> This charge depends on a theoretical fraction of treated effluent in relation to the total volume of effluent produced and on a theoretical efficiency in the treatment process. </w:t>
      </w:r>
      <w:r w:rsidR="001A65E4">
        <w:t>Nevertheless, actual effluents loads are not regularly monitored nor reported by firms.</w:t>
      </w:r>
      <w:r w:rsidR="0034310C">
        <w:t xml:space="preserve"> In fact, a recent survey </w:t>
      </w:r>
      <w:r w:rsidR="0034310C">
        <w:lastRenderedPageBreak/>
        <w:t xml:space="preserve">found that 157 out of 488 industrial plants could not determine the volume of effluents produced by them </w:t>
      </w:r>
      <w:r w:rsidR="004F07AD">
        <w:t xml:space="preserve">and only 15% </w:t>
      </w:r>
      <w:r w:rsidR="00514F88">
        <w:t xml:space="preserve">of the 488 plants </w:t>
      </w:r>
      <w:r w:rsidR="004F07AD">
        <w:t xml:space="preserve">surveyed declared that they monitor their effluents </w:t>
      </w:r>
      <w:r w:rsidR="0034310C">
        <w:t>(</w:t>
      </w:r>
      <w:r w:rsidR="00051E50">
        <w:t xml:space="preserve">Féres, et al., 2005). </w:t>
      </w:r>
      <w:r w:rsidR="004636E0">
        <w:t xml:space="preserve">Lastly, the level of the charge </w:t>
      </w:r>
      <w:r w:rsidR="00F14B86">
        <w:t>i</w:t>
      </w:r>
      <w:r w:rsidR="004636E0">
        <w:t>s significantly below the lowest marginal abatement cost estimated</w:t>
      </w:r>
      <w:r w:rsidR="00F14B86">
        <w:t xml:space="preserve"> by these authors</w:t>
      </w:r>
      <w:r w:rsidR="004636E0">
        <w:t>, su</w:t>
      </w:r>
      <w:r w:rsidR="004923CB">
        <w:t>g</w:t>
      </w:r>
      <w:r w:rsidR="004636E0">
        <w:t>gesting that the charge is not a large an incentive to induce a reduction in pollution loads.</w:t>
      </w:r>
      <w:r w:rsidR="00F762E0">
        <w:t xml:space="preserve"> </w:t>
      </w:r>
    </w:p>
    <w:p w:rsidR="003750D6" w:rsidRDefault="009F69F5" w:rsidP="0096112B">
      <w:pPr>
        <w:pStyle w:val="paragraph-chapters"/>
        <w:spacing w:line="360" w:lineRule="auto"/>
        <w:jc w:val="both"/>
      </w:pPr>
      <w:r>
        <w:t>Finally, an attempt to institute water discharge rights in M</w:t>
      </w:r>
      <w:r w:rsidR="00F84A82">
        <w:t>e</w:t>
      </w:r>
      <w:r>
        <w:t>xico has</w:t>
      </w:r>
      <w:r w:rsidR="00EB3BB2">
        <w:t xml:space="preserve"> had significant implementation problems (see Escalante and Aroche, 2000; and Huber, et al. 1998). </w:t>
      </w:r>
    </w:p>
    <w:p w:rsidR="002376F2" w:rsidRDefault="00B84A04" w:rsidP="005C2653">
      <w:pPr>
        <w:pStyle w:val="paragraph-chapters"/>
        <w:spacing w:line="360" w:lineRule="auto"/>
      </w:pPr>
      <w:r w:rsidRPr="00B84A04">
        <w:t xml:space="preserve">The above reviewed experiences </w:t>
      </w:r>
      <w:r w:rsidR="009804D6">
        <w:t xml:space="preserve">show that the countries in the region that have implemented economic instruments are the less: Chile and Colombia, in the nineties, and Costa Rica in 2008. </w:t>
      </w:r>
      <w:r w:rsidR="00CE1778">
        <w:t xml:space="preserve">The following section summarizes the possible answers that the literature has given to explain </w:t>
      </w:r>
      <w:r w:rsidR="007C6162">
        <w:t>the puzzle that this situation represents in light of the environmental economists’ policy prescriptions.</w:t>
      </w:r>
    </w:p>
    <w:p w:rsidR="000B31F6" w:rsidRDefault="000B31F6" w:rsidP="005C2653">
      <w:pPr>
        <w:pStyle w:val="paragraph-chapters"/>
        <w:spacing w:line="360" w:lineRule="auto"/>
      </w:pPr>
    </w:p>
    <w:p w:rsidR="005E4801" w:rsidRDefault="005E4801" w:rsidP="005C2653">
      <w:pPr>
        <w:pStyle w:val="Ttulo1"/>
        <w:numPr>
          <w:ilvl w:val="0"/>
          <w:numId w:val="8"/>
        </w:numPr>
        <w:spacing w:line="360" w:lineRule="auto"/>
      </w:pPr>
      <w:bookmarkStart w:id="9" w:name="_Toc239545286"/>
      <w:r>
        <w:t>THE PUZZLE: ANSWERS</w:t>
      </w:r>
      <w:bookmarkEnd w:id="9"/>
    </w:p>
    <w:p w:rsidR="000B31F6" w:rsidRPr="000B31F6" w:rsidRDefault="000B31F6" w:rsidP="000B31F6"/>
    <w:p w:rsidR="00F3058C" w:rsidRPr="005E4801" w:rsidRDefault="006A18D4" w:rsidP="00854352">
      <w:pPr>
        <w:pStyle w:val="paragraph-chapters"/>
        <w:spacing w:line="360" w:lineRule="auto"/>
      </w:pPr>
      <w:r>
        <w:t xml:space="preserve">Why is it that some </w:t>
      </w:r>
      <w:r w:rsidR="00F3058C">
        <w:t>Latin American</w:t>
      </w:r>
      <w:r>
        <w:t xml:space="preserve"> countries do not implement</w:t>
      </w:r>
      <w:r w:rsidR="00E70F74">
        <w:t xml:space="preserve"> </w:t>
      </w:r>
      <w:r>
        <w:t xml:space="preserve">economic instruments to control pollution, given the </w:t>
      </w:r>
      <w:r w:rsidR="00D7243F">
        <w:t xml:space="preserve">apparent </w:t>
      </w:r>
      <w:r>
        <w:t xml:space="preserve">advantages that these instruments have? </w:t>
      </w:r>
      <w:r w:rsidR="000B31F6">
        <w:t xml:space="preserve">In this section </w:t>
      </w:r>
      <w:r>
        <w:t xml:space="preserve">I classify </w:t>
      </w:r>
      <w:r w:rsidR="00F3058C">
        <w:t xml:space="preserve">possible answers to this puzzle </w:t>
      </w:r>
      <w:r>
        <w:t>in two groups</w:t>
      </w:r>
      <w:r w:rsidR="005E4801" w:rsidRPr="005E4801">
        <w:t xml:space="preserve">: </w:t>
      </w:r>
      <w:r>
        <w:t xml:space="preserve">(a) those </w:t>
      </w:r>
      <w:r w:rsidR="00DB1CDA">
        <w:t xml:space="preserve">centered on the </w:t>
      </w:r>
      <w:r w:rsidR="005E4801" w:rsidRPr="005E4801">
        <w:t>“institutional capacities” of these countries</w:t>
      </w:r>
      <w:r w:rsidR="00DB1CDA">
        <w:t xml:space="preserve">, </w:t>
      </w:r>
      <w:r w:rsidR="005E4801" w:rsidRPr="005E4801">
        <w:t xml:space="preserve">and </w:t>
      </w:r>
      <w:r w:rsidR="00DB1CDA">
        <w:t xml:space="preserve">(b) those centered on </w:t>
      </w:r>
      <w:r w:rsidR="005E4801" w:rsidRPr="005E4801">
        <w:t>the positive political economy of regulatory instrument choice.</w:t>
      </w:r>
    </w:p>
    <w:p w:rsidR="00C7274D" w:rsidRDefault="00C7274D" w:rsidP="005C2653">
      <w:pPr>
        <w:pStyle w:val="Ttulo2"/>
        <w:spacing w:line="360" w:lineRule="auto"/>
        <w:jc w:val="left"/>
      </w:pPr>
      <w:bookmarkStart w:id="10" w:name="_Toc239545287"/>
      <w:r>
        <w:t>Institutional Capacity</w:t>
      </w:r>
      <w:r w:rsidR="000C5FB3">
        <w:t xml:space="preserve"> in Less Developed Countries</w:t>
      </w:r>
      <w:bookmarkEnd w:id="10"/>
    </w:p>
    <w:p w:rsidR="00A92A46" w:rsidRPr="002131BA" w:rsidRDefault="005D2C04" w:rsidP="005C2653">
      <w:pPr>
        <w:pStyle w:val="paragraph-chapters"/>
        <w:spacing w:line="360" w:lineRule="auto"/>
        <w:rPr>
          <w:color w:val="FF0000"/>
        </w:rPr>
      </w:pPr>
      <w:r>
        <w:t>T</w:t>
      </w:r>
      <w:r w:rsidR="00B46507">
        <w:t xml:space="preserve">he puzzle </w:t>
      </w:r>
      <w:r>
        <w:t xml:space="preserve">of </w:t>
      </w:r>
      <w:r w:rsidR="005D2007">
        <w:t xml:space="preserve">why </w:t>
      </w:r>
      <w:r w:rsidR="002E2613">
        <w:t xml:space="preserve">there is in general apparently less experience with economic instruments in developing countries </w:t>
      </w:r>
      <w:r w:rsidR="005D2007">
        <w:t xml:space="preserve">despite </w:t>
      </w:r>
      <w:r w:rsidR="00D95869">
        <w:t xml:space="preserve">the </w:t>
      </w:r>
      <w:r w:rsidR="00396E97">
        <w:t xml:space="preserve">apparent </w:t>
      </w:r>
      <w:r w:rsidR="00D95869">
        <w:t>advantages</w:t>
      </w:r>
      <w:r w:rsidR="005D2007">
        <w:t xml:space="preserve"> of the latter might</w:t>
      </w:r>
      <w:r>
        <w:t xml:space="preserve"> be</w:t>
      </w:r>
      <w:r w:rsidR="00B46507">
        <w:t xml:space="preserve"> explained by the clash between the lack of institutional capacity of these countries and </w:t>
      </w:r>
      <w:r w:rsidR="00C7274D">
        <w:t>the burden that these instruments pose on regulato</w:t>
      </w:r>
      <w:r>
        <w:t>ry institutions,</w:t>
      </w:r>
      <w:r w:rsidR="00C7274D">
        <w:t xml:space="preserve"> making the implementation of these instruments impossible in the short run (Russell and Powell, 1996). </w:t>
      </w:r>
      <w:r w:rsidR="004F77E5">
        <w:t xml:space="preserve">According to these authors, the formal </w:t>
      </w:r>
      <w:r w:rsidR="00D63BC0">
        <w:t>institutional capacity that is a</w:t>
      </w:r>
      <w:r w:rsidR="004F77E5">
        <w:t xml:space="preserve"> necessary condition to implement </w:t>
      </w:r>
      <w:r w:rsidR="004F77E5">
        <w:rPr>
          <w:i/>
        </w:rPr>
        <w:t xml:space="preserve">any </w:t>
      </w:r>
      <w:r w:rsidR="004F77E5">
        <w:t>instrument may be illustrated by (a) the presence of the necessary regulatory framework, (b) the existence of coordinati</w:t>
      </w:r>
      <w:r w:rsidR="00FA6DE5">
        <w:t xml:space="preserve">ng body bringing together the agencies in charge of the natural resources management with a development planning </w:t>
      </w:r>
      <w:r w:rsidR="00FA6DE5">
        <w:lastRenderedPageBreak/>
        <w:t xml:space="preserve">agency, and (c) the availability of skilled personnel in environmental agencies that </w:t>
      </w:r>
      <w:r w:rsidR="00D63BC0">
        <w:t>is</w:t>
      </w:r>
      <w:r w:rsidR="00FA6DE5">
        <w:t xml:space="preserve"> </w:t>
      </w:r>
      <w:r w:rsidR="002240AF">
        <w:t xml:space="preserve">necessary to </w:t>
      </w:r>
      <w:r w:rsidR="00FA6DE5">
        <w:t>implement the regulations</w:t>
      </w:r>
      <w:r w:rsidR="00F77501">
        <w:t xml:space="preserve">, “(t)his means having everything from lawyers to write regulations to technical </w:t>
      </w:r>
      <w:r w:rsidR="007D62EF">
        <w:t>specialists …who can operate…monitoring equipment..” (Russell and Powell, 1996, pg. xv).</w:t>
      </w:r>
      <w:r w:rsidR="001B3224">
        <w:t xml:space="preserve"> According to these authors, less developed countries without this formal institutional capacity may be unable to successfully implement pollution control programs based on economic instruments. </w:t>
      </w:r>
      <w:r w:rsidR="00C7274D">
        <w:t xml:space="preserve">The authors conclude that the choice of policy instruments must be </w:t>
      </w:r>
      <w:r w:rsidR="00C7274D" w:rsidRPr="00901A0A">
        <w:rPr>
          <w:i/>
        </w:rPr>
        <w:t>compatible</w:t>
      </w:r>
      <w:r w:rsidR="00C7274D">
        <w:t xml:space="preserve"> with a country's institutional capacity, implying “…</w:t>
      </w:r>
      <w:r w:rsidR="00C7274D" w:rsidRPr="00660A31">
        <w:rPr>
          <w:i/>
        </w:rPr>
        <w:t>an evolution from those instruments more easily defined and enforced, and the least closely connected to ambient quality goals, toward those involving more difficult definition tasks and closer connections to desired ambient results, aiming at tradable permits in the long run</w:t>
      </w:r>
      <w:r w:rsidR="00C7274D">
        <w:t xml:space="preserve">” (Russell and Powel, op.cit., p. 20). </w:t>
      </w:r>
      <w:r w:rsidR="0049216E">
        <w:t xml:space="preserve">Several </w:t>
      </w:r>
      <w:r w:rsidR="00C7274D">
        <w:t xml:space="preserve">authors </w:t>
      </w:r>
      <w:r w:rsidR="0049216E">
        <w:t xml:space="preserve">in the economic literature </w:t>
      </w:r>
      <w:r w:rsidR="00C7274D">
        <w:t xml:space="preserve">have agreed with this conclusion (Barbe, 1994; CEPAL, 2000 and 2001; Eskeland and Jimenez, 1992; O’Connor, 1998; Seroa da Motta, et al, 1999). </w:t>
      </w:r>
      <w:r w:rsidR="00A92A46">
        <w:t xml:space="preserve"> </w:t>
      </w:r>
      <w:r w:rsidR="00A92A46" w:rsidRPr="00AF4D58">
        <w:t xml:space="preserve">Other authors have also provided similar </w:t>
      </w:r>
      <w:r w:rsidR="002131BA" w:rsidRPr="00AF4D58">
        <w:t>institutional capacity argument</w:t>
      </w:r>
      <w:r w:rsidR="00B4341E" w:rsidRPr="00AF4D58">
        <w:t>s</w:t>
      </w:r>
      <w:r w:rsidR="00F261CA" w:rsidRPr="00AF4D58">
        <w:t xml:space="preserve"> </w:t>
      </w:r>
      <w:r w:rsidR="002131BA" w:rsidRPr="00AF4D58">
        <w:t>as well as culture, traditions and habits</w:t>
      </w:r>
      <w:r w:rsidR="00A92A46" w:rsidRPr="00AF4D58">
        <w:t xml:space="preserve"> to explain the failure of economic instruments in developing countries (Bell, 2003, Russell and Bell, 2002, Bell, 2002</w:t>
      </w:r>
      <w:r w:rsidR="0049216E" w:rsidRPr="00AF4D58">
        <w:t xml:space="preserve"> and 2005</w:t>
      </w:r>
      <w:r w:rsidR="00A92A46" w:rsidRPr="00AF4D58">
        <w:t>, Russell and Vaughan, 2</w:t>
      </w:r>
      <w:r w:rsidR="002131BA" w:rsidRPr="00AF4D58">
        <w:t>003)</w:t>
      </w:r>
      <w:r w:rsidR="00A92A46" w:rsidRPr="00AF4D58">
        <w:t>.</w:t>
      </w:r>
      <w:r w:rsidR="001929D3" w:rsidRPr="00AF4D58">
        <w:t xml:space="preserve"> </w:t>
      </w:r>
    </w:p>
    <w:p w:rsidR="00C7274D" w:rsidRDefault="00990C93" w:rsidP="005C2653">
      <w:pPr>
        <w:pStyle w:val="paragraph-chapters"/>
        <w:spacing w:line="360" w:lineRule="auto"/>
      </w:pPr>
      <w:r w:rsidRPr="002131BA" w:rsidDel="00990C93">
        <w:t xml:space="preserve"> </w:t>
      </w:r>
      <w:r w:rsidR="004570D9">
        <w:t>A</w:t>
      </w:r>
      <w:r w:rsidR="00C7274D" w:rsidRPr="00DC1399">
        <w:t>nother type of institutional capacity</w:t>
      </w:r>
      <w:r w:rsidR="004570D9">
        <w:t xml:space="preserve"> th</w:t>
      </w:r>
      <w:r w:rsidR="00C7274D" w:rsidRPr="00DC1399">
        <w:t xml:space="preserve">at may be as important as the </w:t>
      </w:r>
      <w:r w:rsidR="00C7274D">
        <w:t>capacity of the regulators</w:t>
      </w:r>
      <w:r w:rsidR="004570D9">
        <w:t xml:space="preserve"> is</w:t>
      </w:r>
      <w:r w:rsidR="00C7274D">
        <w:t xml:space="preserve"> the capacity of firms</w:t>
      </w:r>
      <w:r w:rsidR="004570D9">
        <w:t xml:space="preserve"> (</w:t>
      </w:r>
      <w:r w:rsidR="004570D9" w:rsidRPr="004441BB">
        <w:t>Sta</w:t>
      </w:r>
      <w:r w:rsidR="004570D9">
        <w:t>vins, 2007)</w:t>
      </w:r>
      <w:r w:rsidR="00C7274D">
        <w:t xml:space="preserve">. </w:t>
      </w:r>
      <w:r w:rsidR="006B7F93">
        <w:t>Under prescriptive instruments the firm</w:t>
      </w:r>
      <w:r w:rsidR="0058364E">
        <w:t>s</w:t>
      </w:r>
      <w:r w:rsidR="006B7F93">
        <w:t xml:space="preserve"> incorporate the regulators</w:t>
      </w:r>
      <w:r w:rsidR="00644946">
        <w:t>’</w:t>
      </w:r>
      <w:r w:rsidR="006B7F93">
        <w:t xml:space="preserve"> guidelines and proposed technology to comply with emissions standards. In contrast, b</w:t>
      </w:r>
      <w:r w:rsidR="00A92A46">
        <w:t>y p</w:t>
      </w:r>
      <w:r w:rsidR="00C7274D">
        <w:t xml:space="preserve">utting a price on </w:t>
      </w:r>
      <w:r w:rsidR="00A92A46">
        <w:t>pollution</w:t>
      </w:r>
      <w:r w:rsidR="00C7274D">
        <w:t xml:space="preserve">, economic instruments transform </w:t>
      </w:r>
      <w:r w:rsidR="00A92A46">
        <w:t xml:space="preserve">it </w:t>
      </w:r>
      <w:r w:rsidR="00C7274D">
        <w:t>into a costly by-product</w:t>
      </w:r>
      <w:r w:rsidR="003D7837">
        <w:t xml:space="preserve"> </w:t>
      </w:r>
      <w:r w:rsidR="00C7274D">
        <w:t>whose level of production must be strategically decided by the firm in order to maximize profits. This may require a change in the organizational structure that many firms may not have the wherewithal to do</w:t>
      </w:r>
      <w:r w:rsidR="0058364E">
        <w:t xml:space="preserve">. In the case of small firms, doing nothing may be the optimal decision to make given the low probability of being inspected that </w:t>
      </w:r>
      <w:r w:rsidR="00D36141">
        <w:t>this type of firms faces</w:t>
      </w:r>
      <w:r w:rsidR="0058364E">
        <w:t xml:space="preserve"> (</w:t>
      </w:r>
      <w:r w:rsidR="0058364E" w:rsidRPr="006D3EE8">
        <w:t>Gunningham and Sinclair, 2002)</w:t>
      </w:r>
      <w:r w:rsidR="00C7274D">
        <w:t xml:space="preserve">. </w:t>
      </w:r>
      <w:r w:rsidR="0058364E">
        <w:t xml:space="preserve">Even for bigger firms, the necessary re-structuring may take time since it may include changing organizational and production or abatement processes over which they may have built expertise. </w:t>
      </w:r>
      <w:r w:rsidR="00C7274D" w:rsidRPr="004441BB">
        <w:t xml:space="preserve">The implicit assumption </w:t>
      </w:r>
      <w:r w:rsidR="006B7F93">
        <w:t xml:space="preserve">by economists </w:t>
      </w:r>
      <w:r w:rsidR="00C7274D" w:rsidRPr="004441BB">
        <w:t xml:space="preserve">has been that the </w:t>
      </w:r>
      <w:r w:rsidR="00C7274D">
        <w:t xml:space="preserve">new </w:t>
      </w:r>
      <w:r w:rsidR="00C7274D" w:rsidRPr="004441BB">
        <w:t>re</w:t>
      </w:r>
      <w:r w:rsidR="00C7274D">
        <w:t xml:space="preserve">sources that economic instruments demand from the firm are freely available within the firm or they can be easily bought in the market. If this is </w:t>
      </w:r>
      <w:r w:rsidR="0058364E">
        <w:t xml:space="preserve">not </w:t>
      </w:r>
      <w:r w:rsidR="00C7274D">
        <w:t xml:space="preserve">the case, </w:t>
      </w:r>
      <w:r w:rsidR="00C7274D" w:rsidRPr="008A21D7">
        <w:t xml:space="preserve">the capacity of the </w:t>
      </w:r>
      <w:r w:rsidR="00C7274D" w:rsidRPr="008A21D7">
        <w:lastRenderedPageBreak/>
        <w:t>firms to respond cost-effectively to economic instruments may also threaten the successful implementation of these instruments.</w:t>
      </w:r>
      <w:r w:rsidR="008A21D7" w:rsidRPr="00C519AC">
        <w:t xml:space="preserve"> </w:t>
      </w:r>
      <w:r w:rsidR="00C7274D" w:rsidRPr="00C519AC">
        <w:t xml:space="preserve"> </w:t>
      </w:r>
      <w:r w:rsidR="0058364E">
        <w:t xml:space="preserve">The lack of capacity in firms </w:t>
      </w:r>
      <w:r w:rsidR="00C6380E">
        <w:t>may also be a factor that may explain the opposition of firms to economic instruments</w:t>
      </w:r>
      <w:r w:rsidR="001E3728">
        <w:t>, an aspect of the</w:t>
      </w:r>
      <w:r w:rsidR="00C6380E">
        <w:t xml:space="preserve"> political economy of instrument choice </w:t>
      </w:r>
      <w:r w:rsidR="001E3728">
        <w:t xml:space="preserve">that </w:t>
      </w:r>
      <w:r w:rsidR="00C6380E">
        <w:t xml:space="preserve">is the topic of </w:t>
      </w:r>
      <w:r w:rsidR="001E3728">
        <w:t xml:space="preserve">the </w:t>
      </w:r>
      <w:r w:rsidR="00C6380E">
        <w:t xml:space="preserve">next section. </w:t>
      </w:r>
    </w:p>
    <w:p w:rsidR="00834AF9" w:rsidRDefault="00834AF9" w:rsidP="005C2653">
      <w:pPr>
        <w:pStyle w:val="Ttulo2"/>
        <w:spacing w:line="360" w:lineRule="auto"/>
        <w:jc w:val="left"/>
        <w:rPr>
          <w:bCs/>
        </w:rPr>
      </w:pPr>
      <w:bookmarkStart w:id="11" w:name="_Toc239545288"/>
      <w:r w:rsidRPr="00E76B7E">
        <w:rPr>
          <w:bCs/>
        </w:rPr>
        <w:t xml:space="preserve">The Political Economy of </w:t>
      </w:r>
      <w:r>
        <w:rPr>
          <w:bCs/>
        </w:rPr>
        <w:t>Instrument Choice</w:t>
      </w:r>
      <w:bookmarkEnd w:id="11"/>
    </w:p>
    <w:p w:rsidR="005754A3" w:rsidRDefault="00E67396" w:rsidP="005C2653">
      <w:pPr>
        <w:pStyle w:val="paragraph-chapters"/>
        <w:spacing w:line="360" w:lineRule="auto"/>
      </w:pPr>
      <w:r>
        <w:t>A second set of answers of w</w:t>
      </w:r>
      <w:r w:rsidR="00834AF9">
        <w:t>hy have prescriptive or uniform instruments been used more frequently than incentive-based instruments</w:t>
      </w:r>
      <w:r>
        <w:t>,</w:t>
      </w:r>
      <w:r w:rsidR="00834AF9">
        <w:t xml:space="preserve"> despite the cost-effective advantage of the latter</w:t>
      </w:r>
      <w:r>
        <w:t>, is provided by the political economy of instrument choice</w:t>
      </w:r>
      <w:r w:rsidR="002942A3">
        <w:t>.</w:t>
      </w:r>
      <w:r w:rsidR="002942A3">
        <w:rPr>
          <w:rStyle w:val="Refdenotaalpie"/>
        </w:rPr>
        <w:footnoteReference w:id="9"/>
      </w:r>
      <w:r w:rsidR="00E066CC">
        <w:t xml:space="preserve"> </w:t>
      </w:r>
      <w:r w:rsidR="00834AF9">
        <w:t xml:space="preserve">According to the positive political economy, </w:t>
      </w:r>
      <w:r w:rsidR="00FE4A54">
        <w:t>the instrument choice is an equilibrium result of the interaction of the different groups of stakeholders and their relative power through the given institutional mechanisms</w:t>
      </w:r>
      <w:r w:rsidR="00220CA1">
        <w:t xml:space="preserve"> (Keohane, et al.,</w:t>
      </w:r>
      <w:r w:rsidR="00F93FEA">
        <w:t xml:space="preserve"> </w:t>
      </w:r>
      <w:r w:rsidR="00220CA1" w:rsidRPr="00220CA1">
        <w:t>1998)</w:t>
      </w:r>
      <w:r w:rsidR="00F93FEA">
        <w:t>.</w:t>
      </w:r>
      <w:r w:rsidR="00FE4A54">
        <w:t xml:space="preserve"> </w:t>
      </w:r>
      <w:r w:rsidR="00834AF9">
        <w:t xml:space="preserve">The demand side of the </w:t>
      </w:r>
      <w:r w:rsidR="00810839">
        <w:t xml:space="preserve">“political market” </w:t>
      </w:r>
      <w:r w:rsidR="00834AF9">
        <w:t>includes several interest groups: polluting firms, environmental organizations, workers and consumers.</w:t>
      </w:r>
      <w:r w:rsidR="00834AF9">
        <w:rPr>
          <w:rStyle w:val="Refdenotaalpie"/>
        </w:rPr>
        <w:footnoteReference w:id="10"/>
      </w:r>
      <w:r w:rsidR="00834AF9">
        <w:t xml:space="preserve"> The supply side of the market is assumed to be composed of legislators, who seek to assure re-election and are therefore willing to trade some effective support for a given environmental policy instrument in exchange for votes </w:t>
      </w:r>
      <w:r w:rsidR="00267C3A">
        <w:t>o</w:t>
      </w:r>
      <w:r w:rsidR="00834AF9">
        <w:t xml:space="preserve">r monetary contributions. </w:t>
      </w:r>
      <w:r w:rsidR="001F4AA2">
        <w:t>T</w:t>
      </w:r>
      <w:r w:rsidR="00834AF9">
        <w:t xml:space="preserve">he question of why non economic instruments are more commonly used can be answered by examining the incentives of each of the aforementioned interest groups. Profit maximizing firms will demand those policy instruments that minimize their costs of compliance. Therefore, firms will prefer to emit a certain level of a pollutant under an emission standard than to emit the same level under the corresponding emissions tax. Under the former they only incur in abatement costs, while under </w:t>
      </w:r>
      <w:r w:rsidR="0000065C">
        <w:t>the latter</w:t>
      </w:r>
      <w:r w:rsidR="00834AF9">
        <w:t xml:space="preserve"> firms also pay a certain amount for every unit emit</w:t>
      </w:r>
      <w:r w:rsidR="008411C0">
        <w:t>s</w:t>
      </w:r>
      <w:r w:rsidR="00834AF9">
        <w:t>. This is true for every level of required abatement, assuming increasing marginal abatement costs.</w:t>
      </w:r>
      <w:r w:rsidR="005754A3">
        <w:t xml:space="preserve"> </w:t>
      </w:r>
    </w:p>
    <w:p w:rsidR="00834AF9" w:rsidRDefault="00834AF9" w:rsidP="005C2653">
      <w:pPr>
        <w:pStyle w:val="paragraph-chapters"/>
        <w:spacing w:line="360" w:lineRule="auto"/>
      </w:pPr>
      <w:r>
        <w:t xml:space="preserve">On the other hand, preferences over tradable permits are firm specific; they depend on how many permits a firm is allocated </w:t>
      </w:r>
      <w:r w:rsidR="001E3728">
        <w:t>(</w:t>
      </w:r>
      <w:r>
        <w:t>if any</w:t>
      </w:r>
      <w:r w:rsidR="001E3728">
        <w:t>)</w:t>
      </w:r>
      <w:r>
        <w:t>, its abatement costs and the permit price. In other words, it depends on the firm being a net seller or a net buyer of permits</w:t>
      </w:r>
      <w:r w:rsidR="003F6613">
        <w:t>, in equilibrium</w:t>
      </w:r>
      <w:r>
        <w:t xml:space="preserve">. </w:t>
      </w:r>
      <w:r w:rsidR="001E3728">
        <w:t xml:space="preserve">It </w:t>
      </w:r>
      <w:r>
        <w:t>depend</w:t>
      </w:r>
      <w:r w:rsidR="001E3728">
        <w:t>s</w:t>
      </w:r>
      <w:r>
        <w:t xml:space="preserve"> also on the process by which permits are allocated. Would-be net sellers firms may prefer grandfathered permits to emissions standards. </w:t>
      </w:r>
      <w:r>
        <w:lastRenderedPageBreak/>
        <w:t xml:space="preserve">Auctioned permits will generally be opposed by most firms when compared to emissions standards. This may </w:t>
      </w:r>
      <w:r w:rsidR="001E3728">
        <w:t xml:space="preserve">be </w:t>
      </w:r>
      <w:r>
        <w:t>the reason why in almost all marketable permits program</w:t>
      </w:r>
      <w:r w:rsidR="005754A3">
        <w:t>s</w:t>
      </w:r>
      <w:r>
        <w:t xml:space="preserve"> actually implemented the vast majority of the permits were allocated for free. </w:t>
      </w:r>
    </w:p>
    <w:p w:rsidR="00834AF9" w:rsidRDefault="005754A3" w:rsidP="005C2653">
      <w:pPr>
        <w:pStyle w:val="paragraph-chapters"/>
        <w:spacing w:line="360" w:lineRule="auto"/>
      </w:pPr>
      <w:r>
        <w:t>With respect to labor unions, because e</w:t>
      </w:r>
      <w:r w:rsidR="00834AF9">
        <w:t>nvironmental regulations create costs that firm managers and owners use to pressure governments with the possibility of lost jobs</w:t>
      </w:r>
      <w:r>
        <w:t>, and because u</w:t>
      </w:r>
      <w:r w:rsidR="00834AF9">
        <w:t>nions tend to defend jobs</w:t>
      </w:r>
      <w:r>
        <w:t>, t</w:t>
      </w:r>
      <w:r w:rsidR="00834AF9">
        <w:t>hey will probably be on the side of their employers in the case of pollution control, particularly when it does not affect their safety at work</w:t>
      </w:r>
      <w:r w:rsidR="00067F21">
        <w:t xml:space="preserve">. </w:t>
      </w:r>
      <w:r w:rsidR="00834AF9">
        <w:t>Also, environmental regulations can threat</w:t>
      </w:r>
      <w:r w:rsidR="001E3728">
        <w:t>en</w:t>
      </w:r>
      <w:r w:rsidR="00834AF9">
        <w:t xml:space="preserve"> the production of dirty inputs or technologies and </w:t>
      </w:r>
      <w:r w:rsidR="001E3728">
        <w:t>may be</w:t>
      </w:r>
      <w:r w:rsidR="00D31227">
        <w:t xml:space="preserve"> </w:t>
      </w:r>
      <w:r w:rsidR="00834AF9">
        <w:t>resisted by unions i</w:t>
      </w:r>
      <w:r w:rsidR="00E066CC">
        <w:t xml:space="preserve">n these sectors of the economy </w:t>
      </w:r>
      <w:r w:rsidR="00834AF9">
        <w:t>(Stavins, 2007).</w:t>
      </w:r>
    </w:p>
    <w:p w:rsidR="00834AF9" w:rsidRDefault="00834AF9" w:rsidP="005C2653">
      <w:pPr>
        <w:pStyle w:val="paragraph-chapters"/>
        <w:spacing w:line="360" w:lineRule="auto"/>
      </w:pPr>
      <w:r>
        <w:t>Environmental organizations</w:t>
      </w:r>
      <w:r w:rsidR="007A3D5B">
        <w:t xml:space="preserve">, a third stakeholder, </w:t>
      </w:r>
      <w:r>
        <w:t xml:space="preserve">may also prefer standards to taxes or tradable permits </w:t>
      </w:r>
      <w:r w:rsidR="007A3D5B">
        <w:t xml:space="preserve">if they see the latter as </w:t>
      </w:r>
      <w:r>
        <w:t xml:space="preserve">licenses to pollute. </w:t>
      </w:r>
      <w:r w:rsidR="00F763F4">
        <w:t>C</w:t>
      </w:r>
      <w:r>
        <w:t>itizens and consumers, even if they prefer to maintain themselves “rationally ignorant” about the pros and cons of the different instruments for pollution regulation, a very large number of potential beneficiaries may opt to free ride on the lobbying efforts of others. Even if this is not the case, the number of people involved precludes a degree of coordination as effective as that of polluting firms. Therefore, in general</w:t>
      </w:r>
      <w:r w:rsidR="001E3728">
        <w:t>,</w:t>
      </w:r>
      <w:r>
        <w:t xml:space="preserve"> theory predicts that one should not expect consumers or citizens to lobby on the issue of instrument choice.</w:t>
      </w:r>
    </w:p>
    <w:p w:rsidR="00834AF9" w:rsidRDefault="00834AF9" w:rsidP="005C2653">
      <w:pPr>
        <w:pStyle w:val="paragraph-chapters"/>
        <w:spacing w:line="360" w:lineRule="auto"/>
      </w:pPr>
      <w:r>
        <w:t>From the supply side of the “political market”, politicians may prefer instruments for which the costs of regulation and possible exemptions are less visible. This is not the case for charges and tradable permits. Second, politicians often engage in “symbolic politics” and non economic instruments may be seen as stronger “statements of support for environmental protection” than emission charges or tradable permits</w:t>
      </w:r>
      <w:r w:rsidR="00F763F4">
        <w:t>”</w:t>
      </w:r>
      <w:r>
        <w:t xml:space="preserve"> </w:t>
      </w:r>
      <w:r w:rsidRPr="003C6891">
        <w:t xml:space="preserve">(Keohane, et al, 1998, p. 360). </w:t>
      </w:r>
      <w:r>
        <w:t xml:space="preserve">Third, politicians may be more interested in the distribution of costs than in their minimization, the main advantage of incentive – based instruments. In other words, politicians may be reluctant to implement instruments that may cause some firms to close, re-locate or lose jobs. As a result, they may have a bias toward favoring existing standards. </w:t>
      </w:r>
    </w:p>
    <w:p w:rsidR="00834AF9" w:rsidRDefault="00834AF9" w:rsidP="005C2653">
      <w:pPr>
        <w:pStyle w:val="paragraph-chapters"/>
        <w:spacing w:line="360" w:lineRule="auto"/>
      </w:pPr>
      <w:r>
        <w:t xml:space="preserve">The positive political economy allows an analysis of the incentives of regulatory staff members also, not only legislators. Reasons for policy makers or bureaucrats to oppose economic instruments are that </w:t>
      </w:r>
      <w:r w:rsidR="004758CC">
        <w:t>these</w:t>
      </w:r>
      <w:r>
        <w:t xml:space="preserve"> may not require the same technical expertise </w:t>
      </w:r>
      <w:r w:rsidR="001360C7">
        <w:lastRenderedPageBreak/>
        <w:t>than</w:t>
      </w:r>
      <w:r>
        <w:t xml:space="preserve"> prescriptive, technology – based instruments</w:t>
      </w:r>
      <w:r w:rsidR="001360C7">
        <w:t xml:space="preserve"> do. </w:t>
      </w:r>
      <w:r w:rsidR="00E61432">
        <w:t>Related</w:t>
      </w:r>
      <w:r w:rsidR="001360C7">
        <w:t>,</w:t>
      </w:r>
      <w:r>
        <w:t xml:space="preserve"> economic instruments shift control decisions from regulatory staff to polluting firms</w:t>
      </w:r>
      <w:r w:rsidR="001360C7">
        <w:t>. Both issues may affect</w:t>
      </w:r>
      <w:r>
        <w:t xml:space="preserve"> their prestige and job security </w:t>
      </w:r>
      <w:r w:rsidR="00A24F9B">
        <w:t>(Ke</w:t>
      </w:r>
      <w:r w:rsidR="00DE05AB">
        <w:t>ohane, et al., 199</w:t>
      </w:r>
      <w:r w:rsidR="002C342D">
        <w:t>8</w:t>
      </w:r>
      <w:r w:rsidR="00701C6A">
        <w:t xml:space="preserve">). </w:t>
      </w:r>
    </w:p>
    <w:p w:rsidR="00FD06FB" w:rsidRDefault="00FD06FB" w:rsidP="000B31F6">
      <w:pPr>
        <w:pStyle w:val="paragraph-chapters"/>
        <w:spacing w:line="360" w:lineRule="auto"/>
        <w:rPr>
          <w:bCs/>
        </w:rPr>
      </w:pPr>
      <w:r w:rsidRPr="00754D88">
        <w:rPr>
          <w:bCs/>
        </w:rPr>
        <w:t xml:space="preserve">Having discussed the arguments based on which environmental economists </w:t>
      </w:r>
      <w:r w:rsidR="00E066CC">
        <w:rPr>
          <w:bCs/>
        </w:rPr>
        <w:t xml:space="preserve">recommend </w:t>
      </w:r>
      <w:r w:rsidRPr="00754D88">
        <w:rPr>
          <w:bCs/>
        </w:rPr>
        <w:t>economic instruments as more desirable than p</w:t>
      </w:r>
      <w:r w:rsidR="00E066CC">
        <w:rPr>
          <w:bCs/>
        </w:rPr>
        <w:t>rescriptive regulation, and</w:t>
      </w:r>
      <w:r w:rsidRPr="00754D88">
        <w:rPr>
          <w:bCs/>
        </w:rPr>
        <w:t xml:space="preserve"> the answers they have given to the question of why regulators </w:t>
      </w:r>
      <w:r w:rsidR="00E066CC">
        <w:rPr>
          <w:bCs/>
        </w:rPr>
        <w:t xml:space="preserve">may </w:t>
      </w:r>
      <w:r w:rsidRPr="00754D88">
        <w:rPr>
          <w:bCs/>
        </w:rPr>
        <w:t>still opt for prescriptive regulation</w:t>
      </w:r>
      <w:r w:rsidR="00E066CC">
        <w:rPr>
          <w:bCs/>
        </w:rPr>
        <w:t>, I turn in the next section to assess the validity of th</w:t>
      </w:r>
      <w:r w:rsidR="00F721BB">
        <w:rPr>
          <w:bCs/>
        </w:rPr>
        <w:t>ese</w:t>
      </w:r>
      <w:r w:rsidR="00E066CC">
        <w:rPr>
          <w:bCs/>
        </w:rPr>
        <w:t xml:space="preserve"> arguments in light of Latin American experience with and without these instruments</w:t>
      </w:r>
      <w:r w:rsidR="00A16178">
        <w:rPr>
          <w:bCs/>
        </w:rPr>
        <w:t>.</w:t>
      </w:r>
      <w:r w:rsidR="002942A3">
        <w:rPr>
          <w:rStyle w:val="Refdenotaalpie"/>
          <w:bCs/>
        </w:rPr>
        <w:footnoteReference w:id="11"/>
      </w:r>
    </w:p>
    <w:p w:rsidR="000B31F6" w:rsidRPr="000B31F6" w:rsidRDefault="000B31F6" w:rsidP="000B31F6">
      <w:pPr>
        <w:pStyle w:val="paragraph-chapters"/>
        <w:spacing w:line="360" w:lineRule="auto"/>
        <w:rPr>
          <w:bCs/>
        </w:rPr>
      </w:pPr>
    </w:p>
    <w:p w:rsidR="00244C82" w:rsidRDefault="00244C82" w:rsidP="005C2653">
      <w:pPr>
        <w:pStyle w:val="Ttulo1"/>
        <w:numPr>
          <w:ilvl w:val="0"/>
          <w:numId w:val="8"/>
        </w:numPr>
        <w:spacing w:line="360" w:lineRule="auto"/>
      </w:pPr>
      <w:bookmarkStart w:id="12" w:name="_Toc239545289"/>
      <w:r>
        <w:t>ARE THEY RELEVANT EXPLANATIONS</w:t>
      </w:r>
      <w:bookmarkEnd w:id="12"/>
      <w:r w:rsidR="00C6364C">
        <w:t>?</w:t>
      </w:r>
    </w:p>
    <w:p w:rsidR="000B31F6" w:rsidRDefault="000B31F6" w:rsidP="005C2653">
      <w:pPr>
        <w:spacing w:line="360" w:lineRule="auto"/>
        <w:rPr>
          <w:lang w:val="es-MX"/>
        </w:rPr>
      </w:pPr>
    </w:p>
    <w:p w:rsidR="00854352" w:rsidRDefault="000B31F6" w:rsidP="00B97DE9">
      <w:pPr>
        <w:pStyle w:val="paragraph-chapters"/>
        <w:spacing w:line="360" w:lineRule="auto"/>
        <w:rPr>
          <w:bCs/>
        </w:rPr>
      </w:pPr>
      <w:r w:rsidRPr="00854352">
        <w:rPr>
          <w:bCs/>
        </w:rPr>
        <w:t xml:space="preserve">Are the above </w:t>
      </w:r>
      <w:r w:rsidR="0096112B" w:rsidRPr="00854352">
        <w:rPr>
          <w:bCs/>
        </w:rPr>
        <w:t xml:space="preserve">answers provided by the literature to the puzzle </w:t>
      </w:r>
      <w:r w:rsidR="00CB7169" w:rsidRPr="00854352">
        <w:rPr>
          <w:bCs/>
        </w:rPr>
        <w:t>cost-ineffective instrument choice satisfactory to explain the current situation</w:t>
      </w:r>
      <w:r w:rsidR="00B97DE9">
        <w:rPr>
          <w:bCs/>
        </w:rPr>
        <w:t xml:space="preserve"> in Latin America</w:t>
      </w:r>
      <w:r w:rsidR="00CB7169" w:rsidRPr="00854352">
        <w:rPr>
          <w:bCs/>
        </w:rPr>
        <w:t xml:space="preserve">? </w:t>
      </w:r>
      <w:r w:rsidR="007F1212">
        <w:rPr>
          <w:bCs/>
        </w:rPr>
        <w:t>Or do the implemented programs based on economic instruments in the region, together with the unsuccessful attempts suggest other</w:t>
      </w:r>
      <w:r w:rsidR="00190CBD">
        <w:rPr>
          <w:bCs/>
        </w:rPr>
        <w:t>wise</w:t>
      </w:r>
      <w:r w:rsidR="007F1212">
        <w:rPr>
          <w:bCs/>
        </w:rPr>
        <w:t xml:space="preserve">? </w:t>
      </w:r>
    </w:p>
    <w:p w:rsidR="007E5E42" w:rsidRDefault="007E5E42" w:rsidP="00B97DE9">
      <w:pPr>
        <w:pStyle w:val="paragraph-chapters"/>
        <w:spacing w:line="360" w:lineRule="auto"/>
        <w:rPr>
          <w:bCs/>
        </w:rPr>
      </w:pPr>
    </w:p>
    <w:p w:rsidR="007E5E42" w:rsidRDefault="007E5E42" w:rsidP="007E5E42">
      <w:pPr>
        <w:pStyle w:val="Ttulo2"/>
        <w:numPr>
          <w:ilvl w:val="1"/>
          <w:numId w:val="8"/>
        </w:numPr>
      </w:pPr>
      <w:r>
        <w:t xml:space="preserve"> Institutional Capacity</w:t>
      </w:r>
    </w:p>
    <w:p w:rsidR="00DC322F" w:rsidRDefault="00AA304E" w:rsidP="00E32938">
      <w:pPr>
        <w:pStyle w:val="paragraph-chapters"/>
        <w:spacing w:line="360" w:lineRule="auto"/>
        <w:rPr>
          <w:bCs/>
        </w:rPr>
      </w:pPr>
      <w:r>
        <w:rPr>
          <w:bCs/>
        </w:rPr>
        <w:t xml:space="preserve">Let’s look first at the institutional capacity argument. </w:t>
      </w:r>
      <w:r w:rsidR="00A02DA3">
        <w:rPr>
          <w:bCs/>
        </w:rPr>
        <w:t>The strategy to test the institutional capacity argument is based on the analysis of the literature that ha</w:t>
      </w:r>
      <w:r w:rsidR="00EF412C">
        <w:rPr>
          <w:bCs/>
        </w:rPr>
        <w:t>s</w:t>
      </w:r>
      <w:r w:rsidR="00A02DA3">
        <w:rPr>
          <w:bCs/>
        </w:rPr>
        <w:t xml:space="preserve"> evaluated th</w:t>
      </w:r>
      <w:r w:rsidR="00EF412C">
        <w:rPr>
          <w:bCs/>
        </w:rPr>
        <w:t>ese</w:t>
      </w:r>
      <w:r w:rsidR="00A02DA3">
        <w:rPr>
          <w:bCs/>
        </w:rPr>
        <w:t xml:space="preserve"> programs. </w:t>
      </w:r>
      <w:r w:rsidR="00EF412C">
        <w:rPr>
          <w:bCs/>
        </w:rPr>
        <w:t xml:space="preserve">But first, as a motivation and first-level analysis, I review the position </w:t>
      </w:r>
      <w:r w:rsidR="00A02DA3">
        <w:rPr>
          <w:bCs/>
        </w:rPr>
        <w:t xml:space="preserve">that the different countries have in different indexes of institutional quality in general, and environmental governance, in particular. </w:t>
      </w:r>
    </w:p>
    <w:p w:rsidR="00DC322F" w:rsidRDefault="00DC322F" w:rsidP="00E32938">
      <w:pPr>
        <w:pStyle w:val="paragraph-chapters"/>
        <w:spacing w:line="360" w:lineRule="auto"/>
        <w:rPr>
          <w:bCs/>
        </w:rPr>
      </w:pPr>
    </w:p>
    <w:p w:rsidR="00DC322F" w:rsidRDefault="00DC322F" w:rsidP="00DC322F">
      <w:pPr>
        <w:pStyle w:val="Ttulo3"/>
        <w:numPr>
          <w:ilvl w:val="2"/>
          <w:numId w:val="8"/>
        </w:numPr>
      </w:pPr>
      <w:r>
        <w:lastRenderedPageBreak/>
        <w:t>Institutional quality indexes</w:t>
      </w:r>
    </w:p>
    <w:p w:rsidR="004F1533" w:rsidRDefault="00E32938" w:rsidP="00200119">
      <w:pPr>
        <w:pStyle w:val="paragraph-chapters"/>
        <w:spacing w:line="360" w:lineRule="auto"/>
        <w:rPr>
          <w:bCs/>
        </w:rPr>
      </w:pPr>
      <w:r>
        <w:rPr>
          <w:bCs/>
        </w:rPr>
        <w:t xml:space="preserve">An internal survey at the Inter American Development </w:t>
      </w:r>
      <w:r w:rsidR="00524C0B">
        <w:rPr>
          <w:bCs/>
        </w:rPr>
        <w:t>B</w:t>
      </w:r>
      <w:r>
        <w:rPr>
          <w:bCs/>
        </w:rPr>
        <w:t>ank (IADB) ranked Costa Rica</w:t>
      </w:r>
      <w:r w:rsidR="00524C0B">
        <w:rPr>
          <w:bCs/>
        </w:rPr>
        <w:t xml:space="preserve"> with the highest possible value of institutional capacity in a five-point scale (Russell and Powell, 1996). </w:t>
      </w:r>
      <w:r>
        <w:rPr>
          <w:bCs/>
        </w:rPr>
        <w:t xml:space="preserve">Chile and </w:t>
      </w:r>
      <w:r w:rsidR="00524C0B">
        <w:rPr>
          <w:bCs/>
        </w:rPr>
        <w:t xml:space="preserve">Colombia ranked in the second highest possible value. </w:t>
      </w:r>
      <w:r w:rsidR="00E92200">
        <w:rPr>
          <w:bCs/>
        </w:rPr>
        <w:t xml:space="preserve">Chile leads Latin American countries according to an Index of Institutional Quality </w:t>
      </w:r>
      <w:r w:rsidR="003A53A3">
        <w:rPr>
          <w:bCs/>
        </w:rPr>
        <w:t>published by the International Policy Network (Krause, 2009). It is followed by Costa Rica, which displaced Uruguay from the second place in 2009. Colombia ranks 8</w:t>
      </w:r>
      <w:r w:rsidR="003A53A3" w:rsidRPr="003A53A3">
        <w:rPr>
          <w:bCs/>
          <w:vertAlign w:val="superscript"/>
        </w:rPr>
        <w:t>th</w:t>
      </w:r>
      <w:r w:rsidR="003A53A3">
        <w:rPr>
          <w:bCs/>
        </w:rPr>
        <w:t xml:space="preserve">. </w:t>
      </w:r>
      <w:r>
        <w:rPr>
          <w:bCs/>
        </w:rPr>
        <w:t>Costa Rica rank</w:t>
      </w:r>
      <w:r w:rsidR="00AA5CC7">
        <w:rPr>
          <w:bCs/>
        </w:rPr>
        <w:t>ed first</w:t>
      </w:r>
      <w:r w:rsidR="005566CF">
        <w:rPr>
          <w:bCs/>
        </w:rPr>
        <w:t xml:space="preserve"> </w:t>
      </w:r>
      <w:r w:rsidR="00AA5CC7">
        <w:rPr>
          <w:bCs/>
        </w:rPr>
        <w:t>among Latin American countries</w:t>
      </w:r>
      <w:r w:rsidR="004C790F">
        <w:rPr>
          <w:bCs/>
        </w:rPr>
        <w:t xml:space="preserve"> and eighteenth in the world</w:t>
      </w:r>
      <w:r w:rsidR="00AA5CC7">
        <w:rPr>
          <w:bCs/>
        </w:rPr>
        <w:t xml:space="preserve"> in a recent Environmental Governance Indicator (Esty, et al., 2005). </w:t>
      </w:r>
      <w:r w:rsidR="004C790F">
        <w:rPr>
          <w:bCs/>
        </w:rPr>
        <w:t>Chile is 2</w:t>
      </w:r>
      <w:r w:rsidR="004C790F" w:rsidRPr="004C790F">
        <w:rPr>
          <w:bCs/>
          <w:vertAlign w:val="superscript"/>
        </w:rPr>
        <w:t>nd</w:t>
      </w:r>
      <w:r w:rsidR="00ED7955">
        <w:rPr>
          <w:bCs/>
          <w:vertAlign w:val="superscript"/>
        </w:rPr>
        <w:t xml:space="preserve"> </w:t>
      </w:r>
      <w:r w:rsidR="00ED7955">
        <w:rPr>
          <w:bCs/>
        </w:rPr>
        <w:t>and Uruguay is 3</w:t>
      </w:r>
      <w:r w:rsidR="00ED7955" w:rsidRPr="00ED7955">
        <w:rPr>
          <w:bCs/>
          <w:vertAlign w:val="superscript"/>
        </w:rPr>
        <w:t>rd</w:t>
      </w:r>
      <w:r w:rsidR="00ED7955">
        <w:rPr>
          <w:bCs/>
        </w:rPr>
        <w:t xml:space="preserve"> </w:t>
      </w:r>
      <w:r w:rsidR="004C790F">
        <w:rPr>
          <w:bCs/>
        </w:rPr>
        <w:t xml:space="preserve">in Latin America. </w:t>
      </w:r>
      <w:r w:rsidR="00830F8C">
        <w:rPr>
          <w:bCs/>
        </w:rPr>
        <w:t xml:space="preserve">Colombia </w:t>
      </w:r>
      <w:r w:rsidR="00ED7955">
        <w:rPr>
          <w:bCs/>
        </w:rPr>
        <w:t>appears in the 8</w:t>
      </w:r>
      <w:r w:rsidR="004C790F" w:rsidRPr="00ED6AE8">
        <w:rPr>
          <w:bCs/>
          <w:vertAlign w:val="superscript"/>
        </w:rPr>
        <w:t>th</w:t>
      </w:r>
      <w:r w:rsidR="004C790F" w:rsidRPr="00ED6AE8">
        <w:rPr>
          <w:bCs/>
        </w:rPr>
        <w:t xml:space="preserve"> </w:t>
      </w:r>
      <w:r w:rsidR="00ED7955">
        <w:rPr>
          <w:bCs/>
        </w:rPr>
        <w:t xml:space="preserve">place, below Panama, </w:t>
      </w:r>
      <w:r w:rsidR="00C32E78">
        <w:rPr>
          <w:bCs/>
        </w:rPr>
        <w:t xml:space="preserve">Dominican Republic, </w:t>
      </w:r>
      <w:r w:rsidR="00ED7955">
        <w:rPr>
          <w:bCs/>
        </w:rPr>
        <w:t xml:space="preserve">Nicaragua, Bolivia and Brazil. </w:t>
      </w:r>
      <w:r w:rsidR="00830F8C">
        <w:rPr>
          <w:bCs/>
        </w:rPr>
        <w:t xml:space="preserve">The conclusion that can be drawn from this simple exercise is that, as measured by these rankings, there is not a direct relation between the institutional capacity or quality of a country and the choice of economic instruments. </w:t>
      </w:r>
      <w:r w:rsidR="006C420F">
        <w:rPr>
          <w:bCs/>
        </w:rPr>
        <w:t xml:space="preserve">For example, Colombia ranks systematically below Uruguay (which ranks in the top three positions) in every ranking except in that of the IADB. Nevertheless, </w:t>
      </w:r>
      <w:r w:rsidR="00B60203">
        <w:rPr>
          <w:bCs/>
        </w:rPr>
        <w:t>Uruguay has not implemented yet economic instruments to control pollution.</w:t>
      </w:r>
      <w:r w:rsidR="00200119">
        <w:rPr>
          <w:bCs/>
        </w:rPr>
        <w:t xml:space="preserve"> </w:t>
      </w:r>
      <w:r w:rsidR="005E73C9">
        <w:rPr>
          <w:bCs/>
        </w:rPr>
        <w:t xml:space="preserve">Nevertheless, these rankings do not allow saying much more. In order to do that, I turn to the literature and review how the programs based on economic instruments have performed; what problems have they encountered in its implementation, </w:t>
      </w:r>
      <w:r w:rsidR="002B389F">
        <w:rPr>
          <w:bCs/>
        </w:rPr>
        <w:t>if any</w:t>
      </w:r>
      <w:r w:rsidR="005E73C9">
        <w:rPr>
          <w:bCs/>
        </w:rPr>
        <w:t xml:space="preserve">. Finally, I </w:t>
      </w:r>
      <w:r w:rsidR="002B389F">
        <w:rPr>
          <w:bCs/>
        </w:rPr>
        <w:t xml:space="preserve">review a paradigmatic case of good institutions and no experience with economic instruments and conclude. </w:t>
      </w:r>
    </w:p>
    <w:p w:rsidR="000E0B5D" w:rsidRDefault="004F1533" w:rsidP="004F1533">
      <w:pPr>
        <w:pStyle w:val="Ttulo3"/>
        <w:numPr>
          <w:ilvl w:val="2"/>
          <w:numId w:val="8"/>
        </w:numPr>
      </w:pPr>
      <w:r>
        <w:t>Case studies</w:t>
      </w:r>
    </w:p>
    <w:p w:rsidR="003463A2" w:rsidRDefault="00814034" w:rsidP="00200119">
      <w:pPr>
        <w:pStyle w:val="paragraph-chapters"/>
        <w:spacing w:line="360" w:lineRule="auto"/>
        <w:rPr>
          <w:bCs/>
        </w:rPr>
      </w:pPr>
      <w:r>
        <w:t xml:space="preserve">By the early nineties, the situation in Colombia was characterized by low compliance level of environmental norms by the private sector and low institutional capacity in the national environmental regulatory office (Uribe, 2004). </w:t>
      </w:r>
      <w:r w:rsidR="00F865D4">
        <w:t>This si</w:t>
      </w:r>
      <w:r>
        <w:t xml:space="preserve">tuation could not be completely reversed by the time the charges were implemented in 1997. </w:t>
      </w:r>
      <w:r w:rsidR="0005692B">
        <w:rPr>
          <w:bCs/>
        </w:rPr>
        <w:t>Blackman (2009) reports that the Colombian water discharge program encountered several problems related with the country´s institutional capacity. In particular, the degree of implementation of the fees varied greatly between</w:t>
      </w:r>
      <w:r w:rsidR="00944E97">
        <w:rPr>
          <w:bCs/>
        </w:rPr>
        <w:t xml:space="preserve"> regional authorities (</w:t>
      </w:r>
      <w:r w:rsidR="0005692B">
        <w:rPr>
          <w:bCs/>
        </w:rPr>
        <w:t>CARs and AAUs</w:t>
      </w:r>
      <w:r w:rsidR="00944E97">
        <w:rPr>
          <w:bCs/>
        </w:rPr>
        <w:t>)</w:t>
      </w:r>
      <w:r w:rsidR="0005692B">
        <w:rPr>
          <w:bCs/>
        </w:rPr>
        <w:t xml:space="preserve">. </w:t>
      </w:r>
      <w:r w:rsidR="003463A2">
        <w:rPr>
          <w:bCs/>
        </w:rPr>
        <w:t xml:space="preserve">While some of these were able to cover all of the sources that should participate </w:t>
      </w:r>
      <w:r w:rsidR="003463A2">
        <w:rPr>
          <w:bCs/>
        </w:rPr>
        <w:lastRenderedPageBreak/>
        <w:t>in the program, others were not able to cover a single source</w:t>
      </w:r>
      <w:r w:rsidR="00757D85">
        <w:rPr>
          <w:bCs/>
        </w:rPr>
        <w:t xml:space="preserve">. </w:t>
      </w:r>
      <w:r w:rsidR="003463A2">
        <w:rPr>
          <w:bCs/>
        </w:rPr>
        <w:t xml:space="preserve">The implementation of the program suffered </w:t>
      </w:r>
      <w:r w:rsidR="00015006">
        <w:rPr>
          <w:bCs/>
        </w:rPr>
        <w:t xml:space="preserve">also </w:t>
      </w:r>
      <w:r w:rsidR="003463A2">
        <w:rPr>
          <w:bCs/>
        </w:rPr>
        <w:t xml:space="preserve">from a considerable lag. Only one regional authority started invoicing and collecting fees in 1997, the year the program started. Blackman (2009) cites an evaluation of the program by the Comptroller General of Colombia done in 2003, where the conclusion is that the application of the program is “highly unsatisfactory”. Only ten regional authorities had implemented the program at that date. </w:t>
      </w:r>
      <w:r w:rsidR="00A9549C">
        <w:rPr>
          <w:bCs/>
        </w:rPr>
        <w:t xml:space="preserve">Noncompliance </w:t>
      </w:r>
      <w:r w:rsidR="0058522E">
        <w:rPr>
          <w:bCs/>
        </w:rPr>
        <w:t>has</w:t>
      </w:r>
      <w:r w:rsidR="00E37FE5">
        <w:rPr>
          <w:bCs/>
        </w:rPr>
        <w:t xml:space="preserve"> </w:t>
      </w:r>
      <w:r w:rsidR="0058522E">
        <w:rPr>
          <w:bCs/>
        </w:rPr>
        <w:t xml:space="preserve">been </w:t>
      </w:r>
      <w:r w:rsidR="00A9549C">
        <w:rPr>
          <w:bCs/>
        </w:rPr>
        <w:t xml:space="preserve">a problem, particularly by the municipal sewerage companies, the main discharges. </w:t>
      </w:r>
      <w:r w:rsidR="00E37FE5">
        <w:rPr>
          <w:bCs/>
        </w:rPr>
        <w:t>I</w:t>
      </w:r>
      <w:r w:rsidR="00A9549C">
        <w:rPr>
          <w:bCs/>
        </w:rPr>
        <w:t xml:space="preserve">n some regional authorities the collection of invoiced fees was low. In sum, it can hardly been argued that all the Colombian regional authorities had the institutional capacity to implement the discharge fee program at the time of its implementation.  </w:t>
      </w:r>
      <w:r w:rsidR="003463A2">
        <w:rPr>
          <w:bCs/>
        </w:rPr>
        <w:t>In fact, Blackman argues that as important as the incentive to polluters</w:t>
      </w:r>
      <w:r w:rsidR="00EC6B89">
        <w:rPr>
          <w:bCs/>
        </w:rPr>
        <w:t>,</w:t>
      </w:r>
      <w:r w:rsidR="003463A2">
        <w:rPr>
          <w:bCs/>
        </w:rPr>
        <w:t xml:space="preserve"> the fee program acted as incentive for regulators to improve the regulatory process. </w:t>
      </w:r>
    </w:p>
    <w:p w:rsidR="00EB21F6" w:rsidRPr="0079222A" w:rsidRDefault="00C55FEF" w:rsidP="00EB21F6">
      <w:pPr>
        <w:pStyle w:val="paragraph-chapters"/>
        <w:spacing w:line="360" w:lineRule="auto"/>
      </w:pPr>
      <w:r>
        <w:rPr>
          <w:bCs/>
        </w:rPr>
        <w:t>The Chilean experience may be viewed as running with less problems of implementation. Part of the reason may be that the ECP covered only sources in the metropolitan area of Santiago, a smaller a</w:t>
      </w:r>
      <w:r w:rsidR="00CA3F4C">
        <w:rPr>
          <w:bCs/>
        </w:rPr>
        <w:t>nd</w:t>
      </w:r>
      <w:r>
        <w:rPr>
          <w:bCs/>
        </w:rPr>
        <w:t xml:space="preserve"> richer area than Colombia. Nevertheless, some of the conclusions in the literature seem to suggest that not all the necessary institutional capacity was present in this case, either. </w:t>
      </w:r>
      <w:r w:rsidR="00767FDC">
        <w:rPr>
          <w:bCs/>
        </w:rPr>
        <w:t>In the first place,</w:t>
      </w:r>
      <w:r w:rsidR="00AF1F54">
        <w:rPr>
          <w:bCs/>
        </w:rPr>
        <w:t xml:space="preserve"> it is important to note that</w:t>
      </w:r>
      <w:r w:rsidR="00767FDC">
        <w:rPr>
          <w:bCs/>
        </w:rPr>
        <w:t xml:space="preserve"> </w:t>
      </w:r>
      <w:r w:rsidR="00767FDC">
        <w:t xml:space="preserve">the Supreme Decree No. 4 was promulgated in March 1992, two years before the Law 19,3000 (Environmental Basis Law). </w:t>
      </w:r>
      <w:r w:rsidR="00C71AEA">
        <w:t xml:space="preserve">Among other things, this law created the National Environmental Commission, Chile´s national environmental regulator, with the objective of </w:t>
      </w:r>
      <w:r w:rsidR="00AF1F54">
        <w:t>organizing</w:t>
      </w:r>
      <w:r w:rsidR="00C71AEA">
        <w:t xml:space="preserve"> the environmental legal and institutional framework in Chile</w:t>
      </w:r>
      <w:r w:rsidR="00AF1F54">
        <w:t>, scattered in several ministries and other regulatory offices (</w:t>
      </w:r>
      <w:r w:rsidR="00C71AEA">
        <w:t xml:space="preserve">Bauer, </w:t>
      </w:r>
      <w:r w:rsidR="00232619">
        <w:t xml:space="preserve">2004). </w:t>
      </w:r>
      <w:r w:rsidR="00AF1F54">
        <w:t xml:space="preserve">Because of the absence of a national environmental office at the time of the decree, a new office was created to administering the program (PROCEFF). But the limited institutional capabilities did not end there. </w:t>
      </w:r>
      <w:r>
        <w:t>Palacios and Chávez (</w:t>
      </w:r>
      <w:r w:rsidRPr="00E51FEA">
        <w:t>2002)</w:t>
      </w:r>
      <w:r>
        <w:t xml:space="preserve"> report that o</w:t>
      </w:r>
      <w:r w:rsidRPr="00E51FEA">
        <w:t xml:space="preserve">ther sources of TSP emissions, like industrial firms, were not covered </w:t>
      </w:r>
      <w:r>
        <w:t>by the program because of t</w:t>
      </w:r>
      <w:r w:rsidRPr="00E51FEA">
        <w:t>he difficulty of estimating their maximum capacity of emissions</w:t>
      </w:r>
      <w:r>
        <w:t xml:space="preserve">. </w:t>
      </w:r>
      <w:r w:rsidRPr="00C55FEF">
        <w:rPr>
          <w:bCs/>
        </w:rPr>
        <w:t xml:space="preserve"> </w:t>
      </w:r>
      <w:r w:rsidR="00E37FE5">
        <w:rPr>
          <w:bCs/>
        </w:rPr>
        <w:t xml:space="preserve">As a result, </w:t>
      </w:r>
      <w:r w:rsidR="00667134">
        <w:t>t</w:t>
      </w:r>
      <w:r w:rsidR="00667134" w:rsidRPr="00E51FEA">
        <w:t xml:space="preserve">he program covered </w:t>
      </w:r>
      <w:r w:rsidR="00667134">
        <w:t xml:space="preserve">only </w:t>
      </w:r>
      <w:r w:rsidR="00667134" w:rsidRPr="00E51FEA">
        <w:t xml:space="preserve">4% of the estimated total emissions of TSP in the metropolitan area of </w:t>
      </w:r>
      <w:r w:rsidR="00667134" w:rsidRPr="00E51FEA">
        <w:lastRenderedPageBreak/>
        <w:t>Santiago</w:t>
      </w:r>
      <w:r w:rsidR="00E37FE5">
        <w:t xml:space="preserve"> (</w:t>
      </w:r>
      <w:r w:rsidR="00E37FE5" w:rsidRPr="00E51FEA">
        <w:t>Palacios and Chávez</w:t>
      </w:r>
      <w:r w:rsidR="00E37FE5">
        <w:t>, 2005)</w:t>
      </w:r>
      <w:r w:rsidR="00667134">
        <w:t>.</w:t>
      </w:r>
      <w:r w:rsidR="00192EAA">
        <w:rPr>
          <w:rStyle w:val="Refdenotaalpie"/>
        </w:rPr>
        <w:footnoteReference w:id="12"/>
      </w:r>
      <w:r w:rsidR="00667134">
        <w:t xml:space="preserve"> </w:t>
      </w:r>
      <w:r w:rsidR="00AE350C">
        <w:t xml:space="preserve">A possible </w:t>
      </w:r>
      <w:r w:rsidR="00EB21F6">
        <w:t xml:space="preserve">difference with Colombia is that Chilean regulators took into account these institutional deficiencies at the time of developing the legislation and designing the program. </w:t>
      </w:r>
      <w:r w:rsidR="007E3EA1">
        <w:t xml:space="preserve">“It was recognized that monitoring and enforcement capacities were weak and underfunded, and that any system to be established had to keep monitoring and enforcement costs low for both sources and the regulatory agency” (O’Ryan, 2002, p. 3). This is why </w:t>
      </w:r>
      <w:r w:rsidR="00EB21F6">
        <w:t xml:space="preserve">Santiago’s ECP is an emissions </w:t>
      </w:r>
      <w:r w:rsidR="00EB21F6">
        <w:rPr>
          <w:i/>
        </w:rPr>
        <w:t xml:space="preserve">capacity </w:t>
      </w:r>
      <w:r w:rsidR="00EB21F6">
        <w:t xml:space="preserve">trading program, not an emissions trading program. </w:t>
      </w:r>
      <w:r w:rsidR="0070332C">
        <w:t xml:space="preserve">This simplifies the necessary monitoring of the program. </w:t>
      </w:r>
      <w:r w:rsidR="00EB21F6">
        <w:t>Nevertheless, besides</w:t>
      </w:r>
      <w:r w:rsidR="0070332C">
        <w:t xml:space="preserve"> being an emissions </w:t>
      </w:r>
      <w:r w:rsidR="0070332C">
        <w:rPr>
          <w:i/>
        </w:rPr>
        <w:t xml:space="preserve">capacity </w:t>
      </w:r>
      <w:r w:rsidR="0070332C">
        <w:t>trading program</w:t>
      </w:r>
      <w:r w:rsidR="00EB21F6">
        <w:t xml:space="preserve"> and besides not covering industrial sources because of the difficulty of estimating their emission capacity, </w:t>
      </w:r>
      <w:r w:rsidR="00B42857">
        <w:t>Santiago’s ECP</w:t>
      </w:r>
      <w:r w:rsidR="00EB21F6">
        <w:t xml:space="preserve"> program has been characterized by several problems. </w:t>
      </w:r>
      <w:r w:rsidR="00192EAA">
        <w:t xml:space="preserve">One of these problems is </w:t>
      </w:r>
      <w:r w:rsidR="00EB21F6">
        <w:t xml:space="preserve">frequent violations (Palacios and Chávez, 2002). </w:t>
      </w:r>
      <w:r w:rsidR="002269B6">
        <w:t xml:space="preserve">The program has been characterized by a significant rate of non-compliance since its beginnings. </w:t>
      </w:r>
      <w:r w:rsidR="002269B6" w:rsidRPr="00315293">
        <w:t xml:space="preserve"> </w:t>
      </w:r>
      <w:r w:rsidR="002269B6">
        <w:t xml:space="preserve"> In 1997 46% of the sources in the program were in violation of their capacity permits. This percentage fell when natural gas from Argentina arrived to Chile but it may be rising again due to the end of the supply of this fuel, what causes the boilers to return to dirtier fuels. In 2</w:t>
      </w:r>
      <w:r w:rsidR="00342599">
        <w:t xml:space="preserve">007 the </w:t>
      </w:r>
      <w:r w:rsidR="002269B6">
        <w:t>24%</w:t>
      </w:r>
      <w:r w:rsidR="00AE350C">
        <w:t xml:space="preserve"> of the boilers were out of compliance</w:t>
      </w:r>
      <w:r w:rsidR="002269B6">
        <w:t xml:space="preserve">, up from a minimum of 21% in 2005 </w:t>
      </w:r>
      <w:r w:rsidR="002269B6" w:rsidRPr="002269B6">
        <w:t>(Coria and Sterner, 2008)</w:t>
      </w:r>
      <w:r w:rsidR="002269B6">
        <w:t>.</w:t>
      </w:r>
      <w:r w:rsidR="00EB21F6">
        <w:t xml:space="preserve">There </w:t>
      </w:r>
      <w:r w:rsidR="00E20209">
        <w:t>has</w:t>
      </w:r>
      <w:r w:rsidR="00EB21F6">
        <w:t xml:space="preserve"> </w:t>
      </w:r>
      <w:r w:rsidR="00192EAA">
        <w:t xml:space="preserve">also </w:t>
      </w:r>
      <w:r w:rsidR="00EB21F6">
        <w:t xml:space="preserve">been a relatively small number of transactions (240 between 1997 and 2007), 76% of which were intra-firm (Coria and Sterner, 2008). The reasons for this relatively low trading activity are regulatory uncertainty and transaction costs (Montero, et al., 2002). All transactions have to be approved by the regulator. The average period for a transaction to be approved is about </w:t>
      </w:r>
      <w:r w:rsidR="00EB21F6" w:rsidRPr="00315293">
        <w:t>20 months</w:t>
      </w:r>
      <w:r w:rsidR="00EB21F6">
        <w:t>, although the length has been trending downward</w:t>
      </w:r>
      <w:r w:rsidR="00192EAA">
        <w:t>. A</w:t>
      </w:r>
      <w:r w:rsidR="002D4AA8">
        <w:t>lthough the program began in 1993, the first transaction was approved in 1998. For transactions before 1998, i</w:t>
      </w:r>
      <w:r w:rsidR="00192EAA">
        <w:t xml:space="preserve">t took regulators </w:t>
      </w:r>
      <w:r w:rsidR="002D4AA8">
        <w:t>39</w:t>
      </w:r>
      <w:r w:rsidR="00192EAA">
        <w:t xml:space="preserve"> months to approve </w:t>
      </w:r>
      <w:r w:rsidR="002D4AA8">
        <w:t>them</w:t>
      </w:r>
      <w:r w:rsidR="00192EAA">
        <w:t xml:space="preserve"> (</w:t>
      </w:r>
      <w:r w:rsidR="002D4AA8">
        <w:t>Coria and Sterner, 2008</w:t>
      </w:r>
      <w:r w:rsidR="00192EAA">
        <w:t xml:space="preserve">).  </w:t>
      </w:r>
    </w:p>
    <w:p w:rsidR="000033F3" w:rsidRDefault="0079222A" w:rsidP="00C7738F">
      <w:pPr>
        <w:pStyle w:val="paragraph-chapters"/>
        <w:spacing w:line="360" w:lineRule="auto"/>
      </w:pPr>
      <w:r>
        <w:rPr>
          <w:bCs/>
        </w:rPr>
        <w:t xml:space="preserve">What the </w:t>
      </w:r>
      <w:r w:rsidR="00A90DC1">
        <w:rPr>
          <w:bCs/>
        </w:rPr>
        <w:t xml:space="preserve">Colombian and Chilean examples </w:t>
      </w:r>
      <w:r>
        <w:rPr>
          <w:bCs/>
        </w:rPr>
        <w:t>seems to suggest</w:t>
      </w:r>
      <w:r w:rsidR="00A90DC1">
        <w:rPr>
          <w:bCs/>
        </w:rPr>
        <w:t>, according to</w:t>
      </w:r>
      <w:r w:rsidR="009E213D">
        <w:rPr>
          <w:bCs/>
        </w:rPr>
        <w:t xml:space="preserve"> what these authors report</w:t>
      </w:r>
      <w:r w:rsidR="00A90DC1">
        <w:rPr>
          <w:bCs/>
        </w:rPr>
        <w:t>,</w:t>
      </w:r>
      <w:r>
        <w:rPr>
          <w:bCs/>
        </w:rPr>
        <w:t xml:space="preserve"> is that a well developed institutional capacity is not a necessary condition for a country to </w:t>
      </w:r>
      <w:r w:rsidR="005841A2">
        <w:rPr>
          <w:bCs/>
        </w:rPr>
        <w:t xml:space="preserve">implement </w:t>
      </w:r>
      <w:r>
        <w:rPr>
          <w:bCs/>
        </w:rPr>
        <w:t xml:space="preserve">economic instruments. It may be a necessary condition for its successful implementation, but not for the choice of the instrument. </w:t>
      </w:r>
      <w:r w:rsidR="00035A7F">
        <w:rPr>
          <w:bCs/>
        </w:rPr>
        <w:t xml:space="preserve">It </w:t>
      </w:r>
      <w:r w:rsidR="00035A7F">
        <w:rPr>
          <w:bCs/>
        </w:rPr>
        <w:lastRenderedPageBreak/>
        <w:t xml:space="preserve">seems that </w:t>
      </w:r>
      <w:r w:rsidR="007E0BF9">
        <w:rPr>
          <w:bCs/>
        </w:rPr>
        <w:t xml:space="preserve">both </w:t>
      </w:r>
      <w:r>
        <w:rPr>
          <w:bCs/>
        </w:rPr>
        <w:t>Chile</w:t>
      </w:r>
      <w:r w:rsidR="00035A7F">
        <w:rPr>
          <w:bCs/>
        </w:rPr>
        <w:t xml:space="preserve"> and Colombia lacked </w:t>
      </w:r>
      <w:r w:rsidR="00035A7F">
        <w:t xml:space="preserve">skilled personnel and </w:t>
      </w:r>
      <w:r w:rsidR="007E0BF9">
        <w:t xml:space="preserve">other </w:t>
      </w:r>
      <w:r w:rsidR="00035A7F">
        <w:t>necessary resources in</w:t>
      </w:r>
      <w:r w:rsidR="007E0BF9">
        <w:t xml:space="preserve"> </w:t>
      </w:r>
      <w:r w:rsidR="00035A7F">
        <w:t xml:space="preserve">environmental agencies that are necessary to </w:t>
      </w:r>
      <w:r w:rsidR="00C04D6F">
        <w:t xml:space="preserve">successfully </w:t>
      </w:r>
      <w:r w:rsidR="00035A7F">
        <w:t>implement the regulations</w:t>
      </w:r>
      <w:r w:rsidR="00291223">
        <w:t>. B</w:t>
      </w:r>
      <w:r w:rsidR="00035A7F">
        <w:t xml:space="preserve">ut these </w:t>
      </w:r>
      <w:r w:rsidR="00291223">
        <w:t xml:space="preserve">deficiencies did not prevent these countries to </w:t>
      </w:r>
      <w:r w:rsidR="00035A7F">
        <w:t xml:space="preserve">choose economic instruments to control pollution. </w:t>
      </w:r>
      <w:r w:rsidR="00C1312A">
        <w:t xml:space="preserve">Thus, Russell and Powell’s observation that economic instruments will experience implementation difficulties in less developed countries like Latin Americans is validated by the experience of Colombia and Chile. Nevertheless, the institutional capacity </w:t>
      </w:r>
      <w:r w:rsidR="004E7C1C">
        <w:t xml:space="preserve">argument, at least as </w:t>
      </w:r>
      <w:r w:rsidR="00DF242F">
        <w:t xml:space="preserve">it is defined </w:t>
      </w:r>
      <w:r w:rsidR="004E7C1C">
        <w:t xml:space="preserve">in the literature, does not help to explain the puzzle of the </w:t>
      </w:r>
      <w:r w:rsidR="00FC2518">
        <w:t>differing</w:t>
      </w:r>
      <w:r w:rsidR="004E7C1C">
        <w:t xml:space="preserve"> experience with economic instruments among Latin American countries.</w:t>
      </w:r>
      <w:r w:rsidR="000033F3">
        <w:t xml:space="preserve"> </w:t>
      </w:r>
      <w:r w:rsidR="00DF242F">
        <w:t xml:space="preserve">This is true not only because it seems that both Chile and Colombia were not fully prepared to implement successfully the economic instruments for which they chose to control pollution, but also because there are other countries </w:t>
      </w:r>
      <w:r w:rsidR="00C7738F">
        <w:t>that seem to represent situations in which the instituti</w:t>
      </w:r>
      <w:r w:rsidR="009E213D">
        <w:t xml:space="preserve">onal capacity is present, at </w:t>
      </w:r>
      <w:r w:rsidR="00C7738F">
        <w:t xml:space="preserve">least </w:t>
      </w:r>
      <w:r w:rsidR="009E213D">
        <w:t>in comparable quality as it is in</w:t>
      </w:r>
      <w:r w:rsidR="00C7738F">
        <w:t xml:space="preserve"> Chile and Costa Rica, but still base their pollution control policy in prescriptive instruments. This is the case </w:t>
      </w:r>
      <w:r w:rsidR="000033F3">
        <w:t>of Uruguay</w:t>
      </w:r>
      <w:r w:rsidR="00C7738F">
        <w:t xml:space="preserve">, for example. </w:t>
      </w:r>
    </w:p>
    <w:p w:rsidR="00C7738F" w:rsidRDefault="00C7738F" w:rsidP="006D0D59">
      <w:pPr>
        <w:pStyle w:val="paragraph-chapters"/>
        <w:spacing w:line="360" w:lineRule="auto"/>
      </w:pPr>
      <w:r>
        <w:t xml:space="preserve">This country has </w:t>
      </w:r>
      <w:r w:rsidR="00BD64B7">
        <w:t xml:space="preserve">a history </w:t>
      </w:r>
      <w:r w:rsidR="00DE2B0F">
        <w:t xml:space="preserve">of </w:t>
      </w:r>
      <w:r>
        <w:t>30 years of using prescriptive</w:t>
      </w:r>
      <w:r w:rsidR="0052314A">
        <w:t xml:space="preserve"> (</w:t>
      </w:r>
      <w:r>
        <w:t>uniform</w:t>
      </w:r>
      <w:r w:rsidR="0052314A">
        <w:t>)</w:t>
      </w:r>
      <w:r>
        <w:t xml:space="preserve"> emissions standards to address water pollution</w:t>
      </w:r>
      <w:r w:rsidR="00BD64B7">
        <w:t xml:space="preserve"> </w:t>
      </w:r>
      <w:r w:rsidR="0052314A">
        <w:t xml:space="preserve">nation-wide </w:t>
      </w:r>
      <w:r w:rsidR="00BD64B7">
        <w:t xml:space="preserve">and more than 40 </w:t>
      </w:r>
      <w:r w:rsidR="0052314A">
        <w:t>years in</w:t>
      </w:r>
      <w:r w:rsidR="00977237">
        <w:t xml:space="preserve"> the </w:t>
      </w:r>
      <w:r w:rsidR="0052314A">
        <w:t xml:space="preserve">case of the </w:t>
      </w:r>
      <w:r w:rsidR="00977237">
        <w:t>capital city of Montevideo</w:t>
      </w:r>
      <w:r>
        <w:t>.</w:t>
      </w:r>
      <w:r w:rsidR="00BD64B7">
        <w:rPr>
          <w:rStyle w:val="Refdenotaalpie"/>
          <w:lang w:val="es-ES"/>
        </w:rPr>
        <w:footnoteReference w:id="13"/>
      </w:r>
      <w:r w:rsidR="00BD64B7">
        <w:t xml:space="preserve"> </w:t>
      </w:r>
      <w:r w:rsidR="00BD64B7">
        <w:rPr>
          <w:rStyle w:val="Refdenotaalpie"/>
        </w:rPr>
        <w:footnoteReference w:id="14"/>
      </w:r>
      <w:r w:rsidR="00BD64B7">
        <w:t xml:space="preserve"> </w:t>
      </w:r>
      <w:r>
        <w:t xml:space="preserve">Jurisdiction over industrial water pollution in Montevideo is shared by </w:t>
      </w:r>
      <w:r w:rsidR="00977237">
        <w:t>the</w:t>
      </w:r>
      <w:r>
        <w:t xml:space="preserve"> national environmental </w:t>
      </w:r>
      <w:r w:rsidR="00977237">
        <w:t>office</w:t>
      </w:r>
      <w:r>
        <w:t xml:space="preserve"> (Dirección Nacional de Medio Ambiente, DINAMA) and </w:t>
      </w:r>
      <w:r w:rsidR="00977237">
        <w:t>the</w:t>
      </w:r>
      <w:r>
        <w:t xml:space="preserve"> municipal </w:t>
      </w:r>
      <w:r w:rsidR="00977237">
        <w:t xml:space="preserve">government </w:t>
      </w:r>
      <w:r>
        <w:t>of Montevideo (Intendencia Municipal de Montevideo, IMM). The municipal agency is responsible for monitoring and enforcing effluent emissions standards</w:t>
      </w:r>
      <w:r w:rsidR="006D0D59">
        <w:t>,</w:t>
      </w:r>
      <w:r>
        <w:t xml:space="preserve"> and the correct operation of </w:t>
      </w:r>
      <w:r w:rsidR="006D0D59">
        <w:t xml:space="preserve">the </w:t>
      </w:r>
      <w:r>
        <w:t xml:space="preserve">effluent treatment plants. This unit is also the regulatory office to which the plants report. The task of the national agency is to confer permits for industrial discharges when they determine that a firm has a treatment plant that enables it to comply with the emission standards. In other words, the national agency is in charge of ascertaining initial </w:t>
      </w:r>
      <w:r>
        <w:lastRenderedPageBreak/>
        <w:t>compliance, while the municipal agency is in charge of ascertaining that compliance is maintained.</w:t>
      </w:r>
      <w:r w:rsidR="000033F3">
        <w:t xml:space="preserve"> </w:t>
      </w:r>
      <w:r>
        <w:t>However, coordination between these two offices has been historically poor.</w:t>
      </w:r>
      <w:r w:rsidR="00534A74">
        <w:rPr>
          <w:rStyle w:val="Refdenotaalpie"/>
        </w:rPr>
        <w:footnoteReference w:id="15"/>
      </w:r>
    </w:p>
    <w:p w:rsidR="001331D8" w:rsidRDefault="001331D8" w:rsidP="001331D8">
      <w:pPr>
        <w:pStyle w:val="paragraph-chapters"/>
        <w:spacing w:line="360" w:lineRule="auto"/>
      </w:pPr>
      <w:r w:rsidRPr="00C81D48">
        <w:t xml:space="preserve">The standards are defined in terms of concentrations of pollutants in discharges. </w:t>
      </w:r>
      <w:bookmarkStart w:id="13" w:name="_Toc51178627"/>
      <w:r>
        <w:t xml:space="preserve">In the city, the program </w:t>
      </w:r>
      <w:r w:rsidRPr="00C81D48">
        <w:t>covers around a hundred industrial plants responsible for more than 90% of criteria pollutants. Every four months, the</w:t>
      </w:r>
      <w:r>
        <w:t>se</w:t>
      </w:r>
      <w:r w:rsidRPr="00C81D48">
        <w:t xml:space="preserve"> plants report to the Industrial Effluents Unit of the municipal government monthly levels of (1) production, (2) water consumed, (3) energy consumed, (4) number of employees and days worked, and (5) volume of emissions and concentrations of pollutants</w:t>
      </w:r>
      <w:bookmarkEnd w:id="13"/>
      <w:r w:rsidRPr="008C2ECB">
        <w:rPr>
          <w:sz w:val="22"/>
          <w:szCs w:val="22"/>
        </w:rPr>
        <w:t>.</w:t>
      </w:r>
      <w:r w:rsidRPr="008C2ECB">
        <w:rPr>
          <w:rStyle w:val="Refdenotaalpie"/>
          <w:sz w:val="22"/>
          <w:szCs w:val="22"/>
        </w:rPr>
        <w:footnoteReference w:id="16"/>
      </w:r>
    </w:p>
    <w:p w:rsidR="001331D8" w:rsidRDefault="000E5C53" w:rsidP="001331D8">
      <w:pPr>
        <w:pStyle w:val="paragraph-chapters"/>
        <w:spacing w:line="360" w:lineRule="auto"/>
      </w:pPr>
      <w:r>
        <w:t>T</w:t>
      </w:r>
      <w:r w:rsidR="00C31039">
        <w:t>he uniform concentration emission standards and the obligatory adoption of abatement technology impose large information gathering and computation requirements for regulators. Regulators need to monitor emissions on a relatively continuous basis to assess the degree of compliance with the standards, and at the same time collect information on the effluent treatment and the production processes of the firms in order to ensure that the treatment plant is being correctly operated and the conditions under which the emission permit has be</w:t>
      </w:r>
      <w:r w:rsidR="001331D8">
        <w:t>en issued are being maintained.</w:t>
      </w:r>
      <w:r w:rsidR="001331D8">
        <w:rPr>
          <w:rStyle w:val="Refdenotaalpie"/>
        </w:rPr>
        <w:footnoteReference w:id="17"/>
      </w:r>
    </w:p>
    <w:p w:rsidR="00DE2B0F" w:rsidRPr="001331D8" w:rsidRDefault="00584C92" w:rsidP="001331D8">
      <w:pPr>
        <w:pStyle w:val="paragraph-chapters"/>
        <w:spacing w:line="360" w:lineRule="auto"/>
      </w:pPr>
      <w:r>
        <w:t xml:space="preserve">Do regulators count with the necessary staff and resources to successfully implement this program? Not quite. </w:t>
      </w:r>
      <w:r w:rsidR="00DE2B0F" w:rsidRPr="001331D8">
        <w:t xml:space="preserve">The </w:t>
      </w:r>
      <w:r w:rsidR="001331D8">
        <w:t xml:space="preserve">national division of environmental control </w:t>
      </w:r>
      <w:r w:rsidR="00DE2B0F" w:rsidRPr="001331D8">
        <w:t xml:space="preserve">(in charge of granting the discharge permits) is composed of only five persons. These five persons are not only in charge of monitoring and enforcing water pollution legislation, but also the rest of the national environmental regulations. Staffing is a bit better at the Industrial Effluents Unit of the </w:t>
      </w:r>
      <w:r w:rsidR="00346F56">
        <w:t>municipal government</w:t>
      </w:r>
      <w:r w:rsidR="00DE2B0F" w:rsidRPr="001331D8">
        <w:t xml:space="preserve">, where seven persons work, but they are only in charge of industrial emissions in Montevideo. These constraints motivated </w:t>
      </w:r>
      <w:r>
        <w:t xml:space="preserve">an </w:t>
      </w:r>
      <w:r w:rsidR="00DE2B0F" w:rsidRPr="001331D8">
        <w:t>agreement</w:t>
      </w:r>
      <w:r>
        <w:t xml:space="preserve"> between these t</w:t>
      </w:r>
      <w:r w:rsidR="00346F56">
        <w:t>wo</w:t>
      </w:r>
      <w:r>
        <w:t xml:space="preserve"> offices</w:t>
      </w:r>
      <w:r w:rsidR="00DE2B0F" w:rsidRPr="001331D8">
        <w:t xml:space="preserve">, aimed at saving scarce monitoring and enforcement resources. </w:t>
      </w:r>
      <w:r>
        <w:t>Nevertheless, this agreement has functioned</w:t>
      </w:r>
      <w:r w:rsidR="0073404E">
        <w:t xml:space="preserve"> unsatisfactorily</w:t>
      </w:r>
      <w:r>
        <w:t xml:space="preserve">. </w:t>
      </w:r>
    </w:p>
    <w:p w:rsidR="00A45DD9" w:rsidRDefault="00471E5A" w:rsidP="007F1DC6">
      <w:pPr>
        <w:pStyle w:val="paragraph-chapters"/>
        <w:spacing w:line="360" w:lineRule="auto"/>
      </w:pPr>
      <w:r>
        <w:lastRenderedPageBreak/>
        <w:t xml:space="preserve">Nevertheless, </w:t>
      </w:r>
      <w:r w:rsidR="00184B32">
        <w:t xml:space="preserve">Uruguay seems to have </w:t>
      </w:r>
      <w:r w:rsidR="00EA6F24">
        <w:t xml:space="preserve">a comparable </w:t>
      </w:r>
      <w:r w:rsidR="00184B32">
        <w:t xml:space="preserve">institutional support </w:t>
      </w:r>
      <w:r w:rsidR="00EA6F24">
        <w:t xml:space="preserve">to that of </w:t>
      </w:r>
      <w:r w:rsidR="00184B32">
        <w:t xml:space="preserve">Chile and Colombia </w:t>
      </w:r>
      <w:r w:rsidR="00D4402A">
        <w:t>i</w:t>
      </w:r>
      <w:r w:rsidR="00E6555D">
        <w:t>n many respects</w:t>
      </w:r>
      <w:r w:rsidR="00184B32">
        <w:t>. First, the number of industrial plants covered by the uniform emission standards</w:t>
      </w:r>
      <w:r w:rsidR="00810C28">
        <w:t xml:space="preserve"> program in Montevideo represents more than 90% of the emissions of the most important </w:t>
      </w:r>
      <w:r w:rsidR="00E20209">
        <w:t xml:space="preserve">water </w:t>
      </w:r>
      <w:r w:rsidR="00810C28">
        <w:t>pollutants</w:t>
      </w:r>
      <w:r w:rsidR="00E20209">
        <w:t xml:space="preserve"> by these sources</w:t>
      </w:r>
      <w:r w:rsidR="00D4402A">
        <w:t xml:space="preserve"> (</w:t>
      </w:r>
      <w:r w:rsidR="00810C28">
        <w:t>BOD</w:t>
      </w:r>
      <w:r w:rsidR="00810C28" w:rsidRPr="00810C28">
        <w:rPr>
          <w:vertAlign w:val="subscript"/>
        </w:rPr>
        <w:t>5</w:t>
      </w:r>
      <w:r w:rsidR="00810C28">
        <w:t>,</w:t>
      </w:r>
      <w:r w:rsidR="005926E2">
        <w:t xml:space="preserve"> Total suspended solids and metals</w:t>
      </w:r>
      <w:r w:rsidR="00D4402A">
        <w:t>)</w:t>
      </w:r>
      <w:r w:rsidR="0071466A">
        <w:t xml:space="preserve">. </w:t>
      </w:r>
      <w:r w:rsidR="00A45DD9">
        <w:t xml:space="preserve">In the period July 1996 – October 2001 the municipal regulators performed a total </w:t>
      </w:r>
      <w:r w:rsidR="0002388C">
        <w:t>of 549</w:t>
      </w:r>
      <w:r w:rsidR="00A45DD9">
        <w:t xml:space="preserve"> inspections on 74 plants in</w:t>
      </w:r>
      <w:r w:rsidR="0002388C">
        <w:t xml:space="preserve"> Montevideo; a mean of 0.116 per plant per month. In the same period, the national government visited 211 plants in the city. </w:t>
      </w:r>
      <w:r w:rsidR="00EA2887">
        <w:t>In a sample of 96 industrial plants of the total of 1,189 regulated plants in the city of Bogotá in 2000</w:t>
      </w:r>
      <w:r w:rsidR="005770D2">
        <w:t>, Cruz</w:t>
      </w:r>
      <w:r w:rsidR="00B858CC">
        <w:t xml:space="preserve"> and Uribe (2002) report an average number of visits per month of 0.194, similar to that in Montevideo. </w:t>
      </w:r>
      <w:r w:rsidR="008F5CAC">
        <w:t xml:space="preserve"> Unfortunately, none of the cited papers was able to obtain information on the number of inspections performed by the regulators in the case of Santiago’s ECP. </w:t>
      </w:r>
    </w:p>
    <w:p w:rsidR="00D13B2E" w:rsidRDefault="00670A67" w:rsidP="00EB6CF6">
      <w:pPr>
        <w:pStyle w:val="paragraph-chapters"/>
        <w:spacing w:line="360" w:lineRule="auto"/>
      </w:pPr>
      <w:r>
        <w:t xml:space="preserve">As said, </w:t>
      </w:r>
      <w:r w:rsidR="003C52DA">
        <w:t xml:space="preserve">firms </w:t>
      </w:r>
      <w:r>
        <w:t xml:space="preserve">in Montevideo </w:t>
      </w:r>
      <w:r w:rsidR="003C52DA">
        <w:t>report their level of emissions</w:t>
      </w:r>
      <w:r w:rsidR="003C52DA" w:rsidRPr="003C52DA">
        <w:t xml:space="preserve"> </w:t>
      </w:r>
      <w:r w:rsidR="003C52DA">
        <w:t>every four months to the municipal gov</w:t>
      </w:r>
      <w:r>
        <w:t>ernment</w:t>
      </w:r>
      <w:r w:rsidR="003C52DA">
        <w:t xml:space="preserve">. </w:t>
      </w:r>
      <w:r w:rsidR="007B535A">
        <w:t xml:space="preserve">The process of self-reporting involve taking a sample (or two) of its effluents and sending it to a laboratory. </w:t>
      </w:r>
      <w:r w:rsidR="00AD6C1E">
        <w:t>This process is repeated every month. In contrast, industrial plants under the Colombian water discharge fee program report</w:t>
      </w:r>
      <w:r>
        <w:t>ed</w:t>
      </w:r>
      <w:r w:rsidR="00AD6C1E">
        <w:t xml:space="preserve"> every six months at the beginning of the program and every year after the </w:t>
      </w:r>
      <w:r w:rsidR="00AD6C1E">
        <w:rPr>
          <w:lang w:val="en-GB"/>
        </w:rPr>
        <w:t xml:space="preserve">changes introduced by President Uribe in 2003 – 2004 (Decree 3100 and Decree 3440). </w:t>
      </w:r>
      <w:r w:rsidR="00AF75DF">
        <w:rPr>
          <w:lang w:val="en-GB"/>
        </w:rPr>
        <w:t xml:space="preserve">Similarly, in Santiago the sources declare </w:t>
      </w:r>
      <w:r w:rsidR="000C0F58">
        <w:rPr>
          <w:lang w:val="en-GB"/>
        </w:rPr>
        <w:t xml:space="preserve">their </w:t>
      </w:r>
      <w:r w:rsidR="00AF75DF">
        <w:rPr>
          <w:lang w:val="en-GB"/>
        </w:rPr>
        <w:t>emission</w:t>
      </w:r>
      <w:r w:rsidR="000C0F58">
        <w:rPr>
          <w:lang w:val="en-GB"/>
        </w:rPr>
        <w:t>s capacity</w:t>
      </w:r>
      <w:r w:rsidR="00050459">
        <w:rPr>
          <w:lang w:val="en-GB"/>
        </w:rPr>
        <w:t xml:space="preserve"> annually even though the permits are </w:t>
      </w:r>
      <w:r w:rsidR="000C0F58">
        <w:rPr>
          <w:lang w:val="en-GB"/>
        </w:rPr>
        <w:t xml:space="preserve">defined on a daily basis. Montevideo´s situation differ also from that of the </w:t>
      </w:r>
      <w:r w:rsidR="000C0F58">
        <w:t xml:space="preserve">Brazilian Paraiba do Sul river basin. As commented before, actual effluents loads are not regularly monitored nor reported by firms. </w:t>
      </w:r>
    </w:p>
    <w:p w:rsidR="00EB6CF6" w:rsidRDefault="00EB6CF6" w:rsidP="00EB6CF6">
      <w:pPr>
        <w:pStyle w:val="paragraph-chapters"/>
        <w:spacing w:line="360" w:lineRule="auto"/>
      </w:pPr>
    </w:p>
    <w:p w:rsidR="00EB6CF6" w:rsidRPr="00EB6CF6" w:rsidRDefault="00EB6CF6" w:rsidP="00EB6CF6">
      <w:pPr>
        <w:pStyle w:val="Ttulo2"/>
      </w:pPr>
      <w:bookmarkStart w:id="14" w:name="_Toc239545293"/>
      <w:r w:rsidRPr="00EB6CF6">
        <w:t>5.2 Political Economy</w:t>
      </w:r>
      <w:bookmarkEnd w:id="14"/>
      <w:r w:rsidRPr="00EB6CF6">
        <w:t xml:space="preserve"> </w:t>
      </w:r>
    </w:p>
    <w:p w:rsidR="00EB6CF6" w:rsidRDefault="00EB6CF6" w:rsidP="00EB6CF6">
      <w:pPr>
        <w:pStyle w:val="paragraph-chapters"/>
        <w:spacing w:line="360" w:lineRule="auto"/>
      </w:pPr>
      <w:r w:rsidRPr="00EB6CF6">
        <w:t>The processes leadin</w:t>
      </w:r>
      <w:r>
        <w:t>g</w:t>
      </w:r>
      <w:r w:rsidRPr="00EB6CF6">
        <w:t xml:space="preserve"> to the implementation of economic instruments in Chile, Colombia </w:t>
      </w:r>
      <w:r>
        <w:t>and C</w:t>
      </w:r>
      <w:r w:rsidRPr="00EB6CF6">
        <w:t xml:space="preserve">osta </w:t>
      </w:r>
      <w:r>
        <w:t>R</w:t>
      </w:r>
      <w:r w:rsidRPr="00EB6CF6">
        <w:t>ica were not absent of political economy issues.</w:t>
      </w:r>
      <w:r w:rsidR="00A92722">
        <w:t xml:space="preserve"> Nevertheless, </w:t>
      </w:r>
      <w:r w:rsidR="00B90E37">
        <w:t>they differ markedly</w:t>
      </w:r>
      <w:r w:rsidR="00A92722">
        <w:t>.</w:t>
      </w:r>
    </w:p>
    <w:p w:rsidR="00EB6CF6" w:rsidRDefault="001D70D4" w:rsidP="001D70D4">
      <w:pPr>
        <w:pStyle w:val="Ttulo3"/>
      </w:pPr>
      <w:r>
        <w:lastRenderedPageBreak/>
        <w:t>5.2.1. The case of Colombia</w:t>
      </w:r>
      <w:r>
        <w:rPr>
          <w:rStyle w:val="Refdenotaalpie"/>
        </w:rPr>
        <w:footnoteReference w:id="18"/>
      </w:r>
    </w:p>
    <w:p w:rsidR="003332D1" w:rsidRDefault="00F71040" w:rsidP="00EB6CF6">
      <w:pPr>
        <w:pStyle w:val="paragraph-chapters"/>
        <w:spacing w:line="360" w:lineRule="auto"/>
      </w:pPr>
      <w:r>
        <w:t>As argued by Uribe (2004, p. 16</w:t>
      </w:r>
      <w:r w:rsidRPr="00EF20B3">
        <w:t>), “the interests of the private sector were not threatened by the environmental policies, regulations and institutions of the government” at the beginning of the nineties</w:t>
      </w:r>
      <w:r w:rsidR="00186982">
        <w:t xml:space="preserve"> in Colombia</w:t>
      </w:r>
      <w:r w:rsidRPr="00EF20B3">
        <w:t xml:space="preserve">. </w:t>
      </w:r>
      <w:r w:rsidR="00C91167" w:rsidRPr="009F6CC1">
        <w:t xml:space="preserve">Local regulators (CARs) were captured by private interests. </w:t>
      </w:r>
      <w:r w:rsidR="009F6CC1">
        <w:t>Nevertheless, the country managed to move from this situation to the implementation of water charges without major opposition</w:t>
      </w:r>
      <w:r w:rsidR="001D5DE2">
        <w:t>.</w:t>
      </w:r>
      <w:r w:rsidR="009F6CC1">
        <w:t xml:space="preserve"> The explanation behind this apparent success may be th</w:t>
      </w:r>
      <w:r w:rsidR="00B94691">
        <w:t xml:space="preserve">e strong political support </w:t>
      </w:r>
      <w:r w:rsidR="009F6CC1">
        <w:t xml:space="preserve">from the President itself and the cautious </w:t>
      </w:r>
      <w:r w:rsidR="001D5DE2">
        <w:t xml:space="preserve">process of environmental institutions reform that ended with law 99 of 1993. </w:t>
      </w:r>
      <w:r w:rsidR="00A84482">
        <w:t>A key player in this process was the Department of National Planning. This coordinate</w:t>
      </w:r>
      <w:r w:rsidR="00A22510">
        <w:t>d</w:t>
      </w:r>
      <w:r w:rsidR="00A84482">
        <w:t xml:space="preserve"> the design of national policy proposals, through the secretariat of the National Council for Social and Economic Policy. </w:t>
      </w:r>
      <w:r w:rsidR="00C323AB">
        <w:t>In A</w:t>
      </w:r>
      <w:r w:rsidR="00D03E16">
        <w:t xml:space="preserve">ugust 1991 </w:t>
      </w:r>
      <w:r w:rsidR="003332D1">
        <w:t>(</w:t>
      </w:r>
      <w:r w:rsidR="00D03E16">
        <w:t>o</w:t>
      </w:r>
      <w:r w:rsidR="00692343">
        <w:t>ne year after P</w:t>
      </w:r>
      <w:r w:rsidR="00862EA5">
        <w:t>resident Gaviria</w:t>
      </w:r>
      <w:r w:rsidR="00692343">
        <w:t xml:space="preserve"> was </w:t>
      </w:r>
      <w:r w:rsidR="00A06835">
        <w:t>elected</w:t>
      </w:r>
      <w:r w:rsidR="00D03E16">
        <w:t>)</w:t>
      </w:r>
      <w:r w:rsidR="00692343">
        <w:t xml:space="preserve"> this National Council endorsed a policy document that</w:t>
      </w:r>
      <w:r w:rsidR="00A22510">
        <w:t xml:space="preserve"> proposed a major institutional and regulatory reform in Colombian environmental policy. A</w:t>
      </w:r>
      <w:r w:rsidR="00692343">
        <w:t xml:space="preserve">mong other things, </w:t>
      </w:r>
      <w:r w:rsidR="00A22510">
        <w:t xml:space="preserve">the document </w:t>
      </w:r>
      <w:r w:rsidR="00692343">
        <w:t xml:space="preserve">proposed the creation of the Ministry of the Environment and the development of economic instruments. </w:t>
      </w:r>
      <w:r w:rsidR="00A22510">
        <w:t>This document gav</w:t>
      </w:r>
      <w:r w:rsidR="00214A7B">
        <w:t>e birth to a legal proposal. B</w:t>
      </w:r>
      <w:r w:rsidR="00A22510">
        <w:t>efore presented it to Congress, the government performed a “</w:t>
      </w:r>
      <w:r w:rsidR="00A22510" w:rsidRPr="00A22510">
        <w:t>wide public consultation process across the country with the participation of a wide range of different stakeholders</w:t>
      </w:r>
      <w:r w:rsidR="00A22510">
        <w:t xml:space="preserve">” </w:t>
      </w:r>
      <w:r w:rsidR="00AC4E16">
        <w:t>(</w:t>
      </w:r>
      <w:r w:rsidR="00C96BFF">
        <w:t xml:space="preserve">Uribe, 2004, </w:t>
      </w:r>
      <w:r w:rsidR="00AC4E16">
        <w:t xml:space="preserve">pg. 4) </w:t>
      </w:r>
      <w:r w:rsidR="00A22510">
        <w:t xml:space="preserve">that resulted in the incorporation of some modifications to the initial proposal. </w:t>
      </w:r>
      <w:r w:rsidR="00D43747">
        <w:t>These modifications included</w:t>
      </w:r>
      <w:r w:rsidR="00267618">
        <w:t xml:space="preserve"> a less centralized institutional framework, the creation of five institutes of research to scientifically support policy decisions and more social participatory and control mechanisms. </w:t>
      </w:r>
      <w:r w:rsidR="00D43747">
        <w:t xml:space="preserve">Surprisingly, even though the industrial sector was one of the most active participants in the process, apparently it did </w:t>
      </w:r>
      <w:r w:rsidR="00214A7B">
        <w:t xml:space="preserve">not </w:t>
      </w:r>
      <w:r w:rsidR="00D43747">
        <w:t xml:space="preserve">perform a strong </w:t>
      </w:r>
      <w:r w:rsidR="00214A7B">
        <w:t>lobby against</w:t>
      </w:r>
      <w:r w:rsidR="00D43747">
        <w:t xml:space="preserve"> the pollution charges, although they opposed them. </w:t>
      </w:r>
      <w:r w:rsidR="00F46D2B">
        <w:t>After the incorporations of these changes the debate in Congress centered in the jurisdictional limits of the CARS. The government wanted that th</w:t>
      </w:r>
      <w:r w:rsidR="00214A7B">
        <w:t>ese</w:t>
      </w:r>
      <w:r w:rsidR="00F46D2B">
        <w:t xml:space="preserve"> w</w:t>
      </w:r>
      <w:r w:rsidR="00214A7B">
        <w:t>ere</w:t>
      </w:r>
      <w:r w:rsidR="00F46D2B">
        <w:t xml:space="preserve"> defined by ecological criteria, but the members of Congress w</w:t>
      </w:r>
      <w:r w:rsidR="00214A7B">
        <w:t xml:space="preserve">anted them to </w:t>
      </w:r>
      <w:r w:rsidR="00F46D2B">
        <w:t xml:space="preserve">coincide with the </w:t>
      </w:r>
      <w:r w:rsidR="00F46D2B">
        <w:lastRenderedPageBreak/>
        <w:t>jurisdictional limits of the Departments. The explanation for this is that CARs</w:t>
      </w:r>
      <w:r w:rsidR="005B0CD5">
        <w:t xml:space="preserve">, being the offices </w:t>
      </w:r>
      <w:r w:rsidR="00F46D2B">
        <w:t xml:space="preserve">in charge of implementing the local development agenda, were an active political tool for Governors and parties. A definition of the limits of the jurisdictions of CARs that did not coincide with the </w:t>
      </w:r>
      <w:r w:rsidR="00BE46AC">
        <w:t>Departments</w:t>
      </w:r>
      <w:r w:rsidR="00F46D2B">
        <w:t xml:space="preserve"> jurisdictions was seen as a threat </w:t>
      </w:r>
      <w:r w:rsidR="00B178BC">
        <w:t>to</w:t>
      </w:r>
      <w:r w:rsidR="00F46D2B">
        <w:t xml:space="preserve"> </w:t>
      </w:r>
      <w:r w:rsidR="00B178BC">
        <w:t>local</w:t>
      </w:r>
      <w:r w:rsidR="00F46D2B">
        <w:t xml:space="preserve"> political power. Although initially opposed, the national government finally </w:t>
      </w:r>
      <w:r w:rsidR="00B178BC">
        <w:t xml:space="preserve">conceded </w:t>
      </w:r>
      <w:r w:rsidR="00F46D2B">
        <w:t xml:space="preserve">to this and to the creation of more CARs as part of the political negotiation in Congress. As a result, Congress approved </w:t>
      </w:r>
      <w:r w:rsidR="003332D1">
        <w:t>Law 99 of 1993</w:t>
      </w:r>
      <w:r w:rsidR="00A22510">
        <w:t>, which</w:t>
      </w:r>
      <w:r w:rsidR="003332D1">
        <w:t xml:space="preserve"> </w:t>
      </w:r>
      <w:r w:rsidR="00A22510">
        <w:t xml:space="preserve">despites the mentioned modifications </w:t>
      </w:r>
      <w:r w:rsidR="003332D1">
        <w:t>essentially put in the form of a law the basic elements of th</w:t>
      </w:r>
      <w:r w:rsidR="00A22510">
        <w:t>e</w:t>
      </w:r>
      <w:r w:rsidR="003332D1">
        <w:t xml:space="preserve"> policy document</w:t>
      </w:r>
      <w:r w:rsidR="00051086">
        <w:t xml:space="preserve"> presented by the National Council</w:t>
      </w:r>
      <w:r w:rsidR="006F478B">
        <w:t xml:space="preserve">, including the </w:t>
      </w:r>
      <w:r w:rsidR="00502C3E">
        <w:t>pollution</w:t>
      </w:r>
      <w:r w:rsidR="006F478B">
        <w:t xml:space="preserve"> charges</w:t>
      </w:r>
      <w:r w:rsidR="003332D1">
        <w:t>.</w:t>
      </w:r>
      <w:r w:rsidR="00A22510">
        <w:t xml:space="preserve"> </w:t>
      </w:r>
      <w:r w:rsidR="00A7434F">
        <w:t xml:space="preserve">The </w:t>
      </w:r>
      <w:r w:rsidR="00211D98">
        <w:t>approval of this law represent</w:t>
      </w:r>
      <w:r w:rsidR="00051086">
        <w:t>ed</w:t>
      </w:r>
      <w:r w:rsidR="00A7434F">
        <w:t xml:space="preserve"> a political victory of President</w:t>
      </w:r>
      <w:r w:rsidR="00825A6C">
        <w:t>´s G</w:t>
      </w:r>
      <w:r w:rsidR="00A7434F">
        <w:t>aviria government and its environmental advisors, stron</w:t>
      </w:r>
      <w:r w:rsidR="00211D98">
        <w:t>g</w:t>
      </w:r>
      <w:r w:rsidR="00A7434F">
        <w:t xml:space="preserve"> supporters of the environmental reform.</w:t>
      </w:r>
      <w:r w:rsidR="00A7434F">
        <w:rPr>
          <w:rStyle w:val="Refdenotaalpie"/>
        </w:rPr>
        <w:footnoteReference w:id="19"/>
      </w:r>
    </w:p>
    <w:p w:rsidR="00F01B3B" w:rsidRDefault="00F01B3B" w:rsidP="00EB6CF6">
      <w:pPr>
        <w:pStyle w:val="paragraph-chapters"/>
        <w:spacing w:line="360" w:lineRule="auto"/>
      </w:pPr>
    </w:p>
    <w:p w:rsidR="0006707E" w:rsidRDefault="00F01B3B" w:rsidP="00F01B3B">
      <w:pPr>
        <w:pStyle w:val="Ttulo3"/>
      </w:pPr>
      <w:r>
        <w:t>5.2.1. The case of Costa Rica</w:t>
      </w:r>
    </w:p>
    <w:p w:rsidR="00595581" w:rsidRDefault="0001049D" w:rsidP="00EB6CF6">
      <w:pPr>
        <w:pStyle w:val="paragraph-chapters"/>
        <w:spacing w:line="360" w:lineRule="auto"/>
      </w:pPr>
      <w:r>
        <w:t xml:space="preserve">Costa Rica’s environmental effluents fees </w:t>
      </w:r>
      <w:r w:rsidR="00214A7B">
        <w:t xml:space="preserve">were </w:t>
      </w:r>
      <w:r w:rsidR="00CB44A1">
        <w:t>i</w:t>
      </w:r>
      <w:r w:rsidR="002465D9" w:rsidRPr="00CB44A1">
        <w:t>nspired by the Colombian charges.</w:t>
      </w:r>
      <w:r w:rsidR="002465D9">
        <w:rPr>
          <w:rStyle w:val="Refdenotaalpie"/>
        </w:rPr>
        <w:footnoteReference w:id="20"/>
      </w:r>
      <w:r w:rsidR="002465D9" w:rsidRPr="00CB44A1">
        <w:t xml:space="preserve"> </w:t>
      </w:r>
      <w:r w:rsidR="00214A7B">
        <w:t>They</w:t>
      </w:r>
      <w:r w:rsidR="0016468A">
        <w:t xml:space="preserve"> are</w:t>
      </w:r>
      <w:r w:rsidR="00214A7B">
        <w:t xml:space="preserve"> a product of </w:t>
      </w:r>
      <w:r w:rsidR="000A3FDD">
        <w:t xml:space="preserve">the </w:t>
      </w:r>
      <w:r w:rsidR="00CB44A1">
        <w:t xml:space="preserve">Central American Program for the Modernization of the Environmental </w:t>
      </w:r>
      <w:r w:rsidR="000A3FDD">
        <w:t>Management Systems</w:t>
      </w:r>
      <w:r w:rsidR="00535FCD">
        <w:t xml:space="preserve"> (</w:t>
      </w:r>
      <w:r w:rsidR="00535FCD" w:rsidRPr="00535FCD">
        <w:rPr>
          <w:i/>
        </w:rPr>
        <w:t>Programa</w:t>
      </w:r>
      <w:r w:rsidR="00535FCD">
        <w:t xml:space="preserve"> </w:t>
      </w:r>
      <w:r w:rsidR="00535FCD" w:rsidRPr="00535FCD">
        <w:rPr>
          <w:i/>
        </w:rPr>
        <w:t>Centroamericano de Modernización de los Sistemas de Gestión Ambiental</w:t>
      </w:r>
      <w:r w:rsidR="00535FCD">
        <w:t>, PROSIGA)</w:t>
      </w:r>
      <w:r w:rsidR="000A3FDD">
        <w:t>.</w:t>
      </w:r>
      <w:r w:rsidR="00B43F35">
        <w:rPr>
          <w:rStyle w:val="Refdenotaalpie"/>
        </w:rPr>
        <w:footnoteReference w:id="21"/>
      </w:r>
      <w:r w:rsidR="000A3FDD">
        <w:t xml:space="preserve"> This program, financed by the Embassy of the Netherlands in San José</w:t>
      </w:r>
      <w:r w:rsidR="0016468A">
        <w:t xml:space="preserve"> was </w:t>
      </w:r>
      <w:r w:rsidR="005828BB">
        <w:t>run</w:t>
      </w:r>
      <w:r w:rsidR="0016468A">
        <w:t xml:space="preserve"> by the Central American Commission for the Environment and Development</w:t>
      </w:r>
      <w:r w:rsidR="00B43F35">
        <w:t xml:space="preserve"> and the </w:t>
      </w:r>
      <w:r w:rsidR="005828BB">
        <w:t>Central American Integration System</w:t>
      </w:r>
      <w:r w:rsidR="0016468A">
        <w:t xml:space="preserve">. </w:t>
      </w:r>
      <w:r w:rsidR="005828BB">
        <w:t>(</w:t>
      </w:r>
      <w:r w:rsidR="005828BB" w:rsidRPr="00796067">
        <w:rPr>
          <w:i/>
        </w:rPr>
        <w:t>S</w:t>
      </w:r>
      <w:r w:rsidR="00907C92" w:rsidRPr="00796067">
        <w:rPr>
          <w:i/>
        </w:rPr>
        <w:t>istema de</w:t>
      </w:r>
      <w:r w:rsidR="00C90DE5" w:rsidRPr="00796067">
        <w:rPr>
          <w:i/>
        </w:rPr>
        <w:t xml:space="preserve"> la</w:t>
      </w:r>
      <w:r w:rsidR="00907C92" w:rsidRPr="00796067">
        <w:rPr>
          <w:i/>
        </w:rPr>
        <w:t xml:space="preserve"> Integración Centro</w:t>
      </w:r>
      <w:r w:rsidR="00C90DE5" w:rsidRPr="00796067">
        <w:rPr>
          <w:i/>
        </w:rPr>
        <w:t>americana</w:t>
      </w:r>
      <w:r w:rsidR="005828BB">
        <w:t>, 2009)</w:t>
      </w:r>
      <w:r w:rsidR="000A3FDD">
        <w:t xml:space="preserve">. </w:t>
      </w:r>
      <w:r w:rsidR="00815682">
        <w:t xml:space="preserve">One of the explicit objectives of this program was to complement the “direct” (meaning prescriptive) environmental regulation with economic instruments. </w:t>
      </w:r>
      <w:r w:rsidR="004F75DD">
        <w:t xml:space="preserve">Fulfilling this objective, </w:t>
      </w:r>
      <w:r w:rsidR="00715EC2">
        <w:t xml:space="preserve">PROSIGA produced </w:t>
      </w:r>
      <w:r w:rsidR="00507E28">
        <w:t xml:space="preserve">a </w:t>
      </w:r>
      <w:r w:rsidR="00715EC2">
        <w:t xml:space="preserve">policy proposal </w:t>
      </w:r>
      <w:r w:rsidR="00B00C42">
        <w:t xml:space="preserve">to implement </w:t>
      </w:r>
      <w:r w:rsidR="00507E28">
        <w:t>environmental fees for discharges</w:t>
      </w:r>
      <w:r w:rsidR="00433D5C">
        <w:t xml:space="preserve"> </w:t>
      </w:r>
      <w:r w:rsidR="00B00C42" w:rsidRPr="00433D5C">
        <w:t xml:space="preserve">in Guatemala, El Salvador, </w:t>
      </w:r>
      <w:r w:rsidR="00B00C42" w:rsidRPr="00433D5C">
        <w:lastRenderedPageBreak/>
        <w:t>Panamá and Nicaragua, a</w:t>
      </w:r>
      <w:r w:rsidR="00507E28" w:rsidRPr="00433D5C">
        <w:t xml:space="preserve">nd </w:t>
      </w:r>
      <w:r w:rsidR="00B00C42" w:rsidRPr="00433D5C">
        <w:t>Costa Rica.</w:t>
      </w:r>
      <w:r w:rsidR="00433D5C" w:rsidRPr="00433D5C">
        <w:rPr>
          <w:rStyle w:val="Refdenotaalpie"/>
        </w:rPr>
        <w:t xml:space="preserve"> </w:t>
      </w:r>
      <w:r w:rsidR="00433D5C">
        <w:rPr>
          <w:rStyle w:val="Refdenotaalpie"/>
        </w:rPr>
        <w:footnoteReference w:id="22"/>
      </w:r>
      <w:r w:rsidR="00B00C42" w:rsidRPr="00433D5C">
        <w:t xml:space="preserve"> </w:t>
      </w:r>
      <w:r w:rsidR="00DF4411">
        <w:t xml:space="preserve">Nevertheless, </w:t>
      </w:r>
      <w:r w:rsidR="00B00C42">
        <w:t>it was Costa Rica the only place that the policy proposal ended implemented so far</w:t>
      </w:r>
      <w:r w:rsidR="00DF4411">
        <w:t xml:space="preserve"> because this country had a more advanced institutional system for the environment and because the policy proponents had more political influences in Costa Rica than elsewhere</w:t>
      </w:r>
      <w:r w:rsidR="00B00C42">
        <w:t xml:space="preserve"> (Méndez, 2009, op. cit.)</w:t>
      </w:r>
      <w:r w:rsidR="00796067">
        <w:t xml:space="preserve">. </w:t>
      </w:r>
      <w:r w:rsidR="00DF4411">
        <w:t>Nevertheless, t</w:t>
      </w:r>
      <w:r w:rsidR="00BC132A">
        <w:t xml:space="preserve">he political </w:t>
      </w:r>
      <w:r w:rsidR="00DF4411">
        <w:t>battle</w:t>
      </w:r>
      <w:r w:rsidR="00BC132A">
        <w:t xml:space="preserve"> that ended with the implementation of the effluent charges in Costa Rica </w:t>
      </w:r>
      <w:r w:rsidR="009A3A59">
        <w:t>has it similarities with</w:t>
      </w:r>
      <w:r w:rsidR="00BC132A">
        <w:t xml:space="preserve"> that of Colombia. </w:t>
      </w:r>
      <w:r w:rsidR="00BE0E6F">
        <w:t xml:space="preserve">The success seems to have been built on similar characteristics of the implementation process: (a) the design of the charges was discussed with several stakeholders, the business sector among them; trough many years, (b) the national government strongly supported the implementation of the charges and (c) the academia and the scientific community of the country was involved (Ortega, 2006). </w:t>
      </w:r>
      <w:r w:rsidR="00595581">
        <w:t xml:space="preserve">But the process was not free of problems. </w:t>
      </w:r>
    </w:p>
    <w:p w:rsidR="00EB6CF6" w:rsidRPr="00595581" w:rsidRDefault="00EB6CF6" w:rsidP="00EB6CF6">
      <w:pPr>
        <w:pStyle w:val="paragraph-chapters"/>
        <w:spacing w:line="360" w:lineRule="auto"/>
      </w:pPr>
      <w:r w:rsidRPr="00595581">
        <w:t xml:space="preserve">Costa Rica`s Environmental Fee for Discharges was created in April 2003 by the Executive Decree #31176. </w:t>
      </w:r>
      <w:r w:rsidR="0070054A">
        <w:t>As part of the political negotiations it was m</w:t>
      </w:r>
      <w:r w:rsidRPr="00595581">
        <w:t>odified by the Executive Decree # 31858</w:t>
      </w:r>
      <w:r w:rsidR="0070054A">
        <w:t xml:space="preserve"> of June 2004. This new Decree excluded non-point sources from the </w:t>
      </w:r>
      <w:r w:rsidR="0070054A" w:rsidRPr="00595581">
        <w:t>fee.</w:t>
      </w:r>
      <w:r w:rsidR="0070054A">
        <w:t xml:space="preserve"> It also established a more gradual implementation as that contained in the original decree. In the original decree, only 30% of the corresponding charge was going to be invoiced in the first year of implementation, 44% in the second, 58% in the third, 72% in the fourth, 86% in the fifth and 100% in the sixth year</w:t>
      </w:r>
      <w:r w:rsidR="00CB1174">
        <w:t xml:space="preserve">. </w:t>
      </w:r>
      <w:r w:rsidR="0070054A">
        <w:t xml:space="preserve">In the new version, the percentages were 10, 20, 40, 55, 75 and 100%. </w:t>
      </w:r>
      <w:r w:rsidR="00096DA2">
        <w:t>T</w:t>
      </w:r>
      <w:r w:rsidRPr="00595581">
        <w:t>he fee was scheduled to be in force by January 1</w:t>
      </w:r>
      <w:r w:rsidRPr="00595581">
        <w:rPr>
          <w:vertAlign w:val="superscript"/>
        </w:rPr>
        <w:t>st</w:t>
      </w:r>
      <w:r w:rsidRPr="00595581">
        <w:t xml:space="preserve"> 2005. </w:t>
      </w:r>
      <w:r w:rsidR="00CB1174">
        <w:t>I</w:t>
      </w:r>
      <w:r w:rsidRPr="00595581">
        <w:t xml:space="preserve">n April 2005 the Decree was contested in court by the Sugarcane Agro-industrial League of Costa Rica. </w:t>
      </w:r>
      <w:r w:rsidR="00595581">
        <w:t xml:space="preserve">The industrial league argued that the </w:t>
      </w:r>
      <w:r w:rsidR="00020C08">
        <w:t xml:space="preserve">charge </w:t>
      </w:r>
      <w:r w:rsidR="00595581">
        <w:t xml:space="preserve">was really a tax, for which a law was necessary. In June 2006 </w:t>
      </w:r>
      <w:r w:rsidRPr="00595581">
        <w:t>Costa Rica´s Supreme Court ruled in favor of its constitutionality (Peña, 2008).  The implementation of the fee was nevertheless delayed. In April 200</w:t>
      </w:r>
      <w:r w:rsidR="00CB1174">
        <w:t>8</w:t>
      </w:r>
      <w:r w:rsidRPr="00595581">
        <w:t>, Costa Rica´s Ministry of the Environment approved a new Decree</w:t>
      </w:r>
      <w:r w:rsidR="00020C08">
        <w:t xml:space="preserve">. </w:t>
      </w:r>
      <w:r w:rsidR="00296295">
        <w:t>Finally, the fee was implemented in October 2008 (José Miguel Zeledón, Director</w:t>
      </w:r>
      <w:r w:rsidR="00020C08">
        <w:t xml:space="preserve"> General of Waters, Ministry of the Environment, Costa Rica,</w:t>
      </w:r>
      <w:r w:rsidR="00296295">
        <w:t xml:space="preserve"> e-mail communication, </w:t>
      </w:r>
      <w:r w:rsidR="00020C08">
        <w:t>A</w:t>
      </w:r>
      <w:r w:rsidR="00296295">
        <w:t>ugust 11</w:t>
      </w:r>
      <w:r w:rsidR="00296295" w:rsidRPr="00296295">
        <w:rPr>
          <w:vertAlign w:val="superscript"/>
        </w:rPr>
        <w:t>th</w:t>
      </w:r>
      <w:r w:rsidR="00296295">
        <w:t xml:space="preserve"> 2009</w:t>
      </w:r>
      <w:r w:rsidR="00020C08">
        <w:t>).</w:t>
      </w:r>
    </w:p>
    <w:p w:rsidR="00EB6CF6" w:rsidRDefault="00EB6CF6" w:rsidP="00EB6CF6">
      <w:pPr>
        <w:pStyle w:val="paragraph-chapters"/>
        <w:spacing w:line="360" w:lineRule="auto"/>
      </w:pPr>
    </w:p>
    <w:p w:rsidR="00B42857" w:rsidRDefault="00B42857" w:rsidP="00B42857">
      <w:pPr>
        <w:pStyle w:val="Ttulo3"/>
      </w:pPr>
      <w:r>
        <w:t>5.2.2. The case of Chile</w:t>
      </w:r>
    </w:p>
    <w:p w:rsidR="00595581" w:rsidRDefault="002F675C" w:rsidP="005119A9">
      <w:pPr>
        <w:pStyle w:val="paragraph-chapters"/>
        <w:spacing w:line="360" w:lineRule="auto"/>
      </w:pPr>
      <w:r>
        <w:t xml:space="preserve">I am not aware of any written work </w:t>
      </w:r>
      <w:r w:rsidR="00F06100">
        <w:t>studying</w:t>
      </w:r>
      <w:r w:rsidR="005119A9">
        <w:t xml:space="preserve"> the policy process that led to the </w:t>
      </w:r>
      <w:r w:rsidR="00F06100">
        <w:t xml:space="preserve">Santiago’s </w:t>
      </w:r>
      <w:r w:rsidR="005119A9">
        <w:t xml:space="preserve">ECP. </w:t>
      </w:r>
      <w:r w:rsidR="00F06100">
        <w:t>This is rather surprising, because the implementation of this program is contemporaneous to the US experience with tradable permits</w:t>
      </w:r>
      <w:r w:rsidR="00993F5D">
        <w:t>, and bein</w:t>
      </w:r>
      <w:r w:rsidR="003E1AC1">
        <w:t>g Chile a less developed country, this</w:t>
      </w:r>
      <w:r w:rsidR="00F06100">
        <w:t xml:space="preserve"> represents puzzle. </w:t>
      </w:r>
      <w:r w:rsidR="00993F5D">
        <w:t xml:space="preserve">According to O’Ryan (2002), by the end of the eighties air pollution in Santiago was a serious problem. However the military government did not have the political will to solve it. This was done by the first democratic government of Patricio Aylwin. One month after it took office in March 1990 it undertook a major environmental policy reform in Chile. As part of this process it created a Special </w:t>
      </w:r>
      <w:r w:rsidR="00E96089">
        <w:t>Commission</w:t>
      </w:r>
      <w:r w:rsidR="00993F5D">
        <w:t xml:space="preserve"> for the Decontamination of the Metropolitan Region (CEDRM). </w:t>
      </w:r>
      <w:r w:rsidR="00E96089">
        <w:t xml:space="preserve">The commission acted under the politically influential Ministry general Secretariat. </w:t>
      </w:r>
      <w:r w:rsidR="00221210">
        <w:t xml:space="preserve">This commission elaborated a Master Plan to tackle the pollution problem in Santiago. The Plan was transformed into a decree (Decree #4) by the Ministry of Health. This Decree included the implementation of the emission standard of 122 mg/m3 of TSP for existing boiler and industries and the ECP. </w:t>
      </w:r>
    </w:p>
    <w:p w:rsidR="000F5B02" w:rsidRDefault="000F5B02" w:rsidP="005119A9">
      <w:pPr>
        <w:pStyle w:val="paragraph-chapters"/>
        <w:spacing w:line="360" w:lineRule="auto"/>
      </w:pPr>
      <w:r>
        <w:t xml:space="preserve">O’Ryan (2002) asserts that there were two reasons why a tradable emissions permits system gained political support at that time. First, because the exporting sector was receiving signals of concern from their clients with respect to Chile´s environmental record, both this sector and the government were aware for the necessity of taking actions in the environmental arena in order to improve Chile´s image in the world market. </w:t>
      </w:r>
      <w:r w:rsidR="00592AF8">
        <w:t xml:space="preserve">Bauer (2004) provides the same explanation. International trade agreement required Chile to have environmental legislation. </w:t>
      </w:r>
      <w:r w:rsidR="00055FB2">
        <w:t xml:space="preserve">So, much of the pressure was external, operating through the market. </w:t>
      </w:r>
      <w:r>
        <w:t xml:space="preserve">Second, </w:t>
      </w:r>
      <w:r w:rsidR="00CE0588">
        <w:t>the exporting sector wanted regulations to be flexible with minimum government intervention, and so did the government. The reason may be in the particular political times. This was a newly democratically elected government that understood that pressuring the private sector with “interventionist” environmental regulation was not the way of going through a delicate transition to democracy</w:t>
      </w:r>
      <w:r w:rsidR="007B559C">
        <w:t xml:space="preserve">. </w:t>
      </w:r>
    </w:p>
    <w:p w:rsidR="00C25058" w:rsidRDefault="008473E4" w:rsidP="005119A9">
      <w:pPr>
        <w:pStyle w:val="paragraph-chapters"/>
        <w:spacing w:line="360" w:lineRule="auto"/>
      </w:pPr>
      <w:r>
        <w:t>As a result, the negotiations between the government and the private sector conducting to Decree #4 “lasted only a few weeks” (O’Ryan, 2002, p. 3).</w:t>
      </w:r>
    </w:p>
    <w:p w:rsidR="00C25058" w:rsidRDefault="00C25058" w:rsidP="005119A9">
      <w:pPr>
        <w:pStyle w:val="paragraph-chapters"/>
        <w:spacing w:line="360" w:lineRule="auto"/>
      </w:pPr>
    </w:p>
    <w:p w:rsidR="00C25058" w:rsidRDefault="00C25058" w:rsidP="00C25058">
      <w:pPr>
        <w:pStyle w:val="Ttulo3"/>
      </w:pPr>
      <w:r>
        <w:lastRenderedPageBreak/>
        <w:t>5.2.2. The case of Uruguay</w:t>
      </w:r>
    </w:p>
    <w:p w:rsidR="00C25058" w:rsidRDefault="00C1319C" w:rsidP="00C25058">
      <w:pPr>
        <w:pStyle w:val="paragraph-chapters"/>
        <w:spacing w:line="360" w:lineRule="auto"/>
      </w:pPr>
      <w:r>
        <w:t xml:space="preserve">Chile, Colombia and Costa Rica are the only countries in Latin America that implemented economic instruments for pollution control. But they are not the only ones were these instruments were considered. The World Bank and the Inter American Development Bank were involved in </w:t>
      </w:r>
      <w:r w:rsidR="00654EF3">
        <w:t>the implementation of Colombian effluent fees from the beginning. They financed “a large portion of the institutional building process”. (Ur</w:t>
      </w:r>
      <w:r w:rsidR="00FA19EA">
        <w:t>i</w:t>
      </w:r>
      <w:r w:rsidR="00654EF3">
        <w:t>be, 2004, p. 39)</w:t>
      </w:r>
      <w:r w:rsidR="00FA19EA">
        <w:t xml:space="preserve">. The World </w:t>
      </w:r>
      <w:r w:rsidR="00FA19EA" w:rsidRPr="00FA19EA">
        <w:t>Bank</w:t>
      </w:r>
      <w:r w:rsidR="00FA19EA">
        <w:t xml:space="preserve"> also gave assistant and supported the implementation plan developed by the Office of Economic Analysis of the Ministry of the Environment (Blackman, 2009). </w:t>
      </w:r>
    </w:p>
    <w:p w:rsidR="00C25058" w:rsidRDefault="00C25058" w:rsidP="00C25058">
      <w:pPr>
        <w:pStyle w:val="paragraph-chapters"/>
        <w:spacing w:line="360" w:lineRule="auto"/>
      </w:pPr>
      <w:r>
        <w:t xml:space="preserve">At that time the OECD and other Washington, D.C. international financial institutions promoted economic instruments for protecting the environment in other less developed and transitioning countries during the nineties (Bell, 2003). And Uruguay was not the exception. </w:t>
      </w:r>
    </w:p>
    <w:p w:rsidR="008564E6" w:rsidRDefault="002F790B" w:rsidP="00EB6CF6">
      <w:pPr>
        <w:pStyle w:val="paragraph-chapters"/>
        <w:spacing w:line="360" w:lineRule="auto"/>
      </w:pPr>
      <w:r>
        <w:t>In 1995 the municipal government of Montevideo approved the creation of emissions charges for those industries with effluent concentration levels larger than the emissions standards.</w:t>
      </w:r>
      <w:r w:rsidRPr="00C25058">
        <w:rPr>
          <w:rStyle w:val="Refdenotaalpie"/>
        </w:rPr>
        <w:t xml:space="preserve"> </w:t>
      </w:r>
      <w:r>
        <w:rPr>
          <w:rStyle w:val="Refdenotaalpie"/>
        </w:rPr>
        <w:footnoteReference w:id="23"/>
      </w:r>
      <w:r>
        <w:t xml:space="preserve">  In fact, this was not an emissions charge in the classic sense but rather what is called an emission charge with threshold. Under an emission charge with threshold the polluting firm pays </w:t>
      </w:r>
      <w:r>
        <w:rPr>
          <w:i/>
          <w:iCs/>
        </w:rPr>
        <w:t>t×(e-e</w:t>
      </w:r>
      <w:r>
        <w:rPr>
          <w:i/>
          <w:iCs/>
          <w:vertAlign w:val="subscript"/>
        </w:rPr>
        <w:t>0</w:t>
      </w:r>
      <w:r>
        <w:rPr>
          <w:i/>
          <w:iCs/>
        </w:rPr>
        <w:t>)</w:t>
      </w:r>
      <w:r>
        <w:t xml:space="preserve">, where </w:t>
      </w:r>
      <w:r>
        <w:rPr>
          <w:i/>
          <w:iCs/>
        </w:rPr>
        <w:t xml:space="preserve">t </w:t>
      </w:r>
      <w:r>
        <w:t xml:space="preserve">is the tax, </w:t>
      </w:r>
      <w:r>
        <w:rPr>
          <w:i/>
          <w:iCs/>
        </w:rPr>
        <w:t xml:space="preserve">e </w:t>
      </w:r>
      <w:r>
        <w:t xml:space="preserve">is the level of emissions and </w:t>
      </w:r>
      <w:r>
        <w:rPr>
          <w:i/>
          <w:iCs/>
        </w:rPr>
        <w:t>e</w:t>
      </w:r>
      <w:r>
        <w:rPr>
          <w:i/>
          <w:iCs/>
          <w:vertAlign w:val="subscript"/>
        </w:rPr>
        <w:t>0</w:t>
      </w:r>
      <w:r>
        <w:t xml:space="preserve"> is the emissions standard. The norms distinguished industries that were emitting to municipal sewages and watercourses. The former would pay an Additional Charge (Tasa Adicional) and the latter would pay a Special Charge (Tasa Especial). But despite the difference in name, they were both very similar. Both would be calculated by multiplying the Basic Charge (Tasa Básica, a linear function of the cubic meters of tap water consumed) by a factor larger than one but less than fifteen. The final factor would be determined as a function of the number of pollutants with concentration levels above the standards and the extent of these violations.</w:t>
      </w:r>
    </w:p>
    <w:p w:rsidR="003E01D8" w:rsidRDefault="003E01D8" w:rsidP="003E01D8">
      <w:pPr>
        <w:pStyle w:val="paragraph-chapters"/>
        <w:spacing w:line="360" w:lineRule="auto"/>
      </w:pPr>
      <w:r>
        <w:t xml:space="preserve">These charges were never implemented because the Chamber of Representatives (Cámara de Diputados) repealed them in the following year through a mechanism in the </w:t>
      </w:r>
      <w:r>
        <w:lastRenderedPageBreak/>
        <w:t>Uruguayan Constitution, by which citizens can present a petition for such repeal before the Chamber. The arguments behind the repeal were mainly two. One was the political economy argument behind any tax: it would raise costs to the industrial community. A second argument was that the charge was unconstitutional. Similar to Costa Rica, municipal governments in Uruguay can only create charges (“</w:t>
      </w:r>
      <w:r>
        <w:rPr>
          <w:i/>
          <w:iCs/>
        </w:rPr>
        <w:t>tasas”</w:t>
      </w:r>
      <w:r>
        <w:t xml:space="preserve">) if these are directly related to a service provided by the municipality. In this case the service was the sewage system, but the legal argument of the opposition in the Chamber of Representatives was that since the charge was based on cubic meters of tap water consumption and not on cubic meters of effluents discharged to the sewage system the charge was not really a “charge” but a </w:t>
      </w:r>
      <w:r>
        <w:rPr>
          <w:i/>
          <w:iCs/>
        </w:rPr>
        <w:t>“tax” (impuesto)</w:t>
      </w:r>
      <w:r>
        <w:t xml:space="preserve">, which has to be approved by congress, according to the Constitution. The issue was exacerbated by the charge imposed on industrial plants emitting directly to watercourses because in these cases there was no sewage service involved. </w:t>
      </w:r>
    </w:p>
    <w:p w:rsidR="003E01D8" w:rsidRDefault="003E01D8" w:rsidP="003E01D8">
      <w:pPr>
        <w:pStyle w:val="paragraph-chapters"/>
        <w:spacing w:line="360" w:lineRule="auto"/>
      </w:pPr>
      <w:r>
        <w:t>It is interesting to note that a law or a presidential decree would have probably solved the problem. But, the right-wing government at that time apparently did not show the will to solve the political problem of the left-wing municipal government. In fact, the opposite may be true. It was a group of right-wing legislators, belonging to the coalition of the right-wing parties that promoted the repeal of the municipal charge. Supported by the industry sector, they succeeded.</w:t>
      </w:r>
      <w:r>
        <w:rPr>
          <w:rStyle w:val="Refdenotaalpie"/>
        </w:rPr>
        <w:footnoteReference w:id="24"/>
      </w:r>
    </w:p>
    <w:p w:rsidR="00C25058" w:rsidRDefault="00232157" w:rsidP="00C25058">
      <w:pPr>
        <w:pStyle w:val="paragraph-chapters"/>
        <w:spacing w:line="360" w:lineRule="auto"/>
      </w:pPr>
      <w:r>
        <w:t>T</w:t>
      </w:r>
      <w:r w:rsidRPr="00D04733">
        <w:t xml:space="preserve">here is no proof that the idea of implementing effluents charges </w:t>
      </w:r>
      <w:r>
        <w:t xml:space="preserve">originated </w:t>
      </w:r>
      <w:r w:rsidRPr="00D04733">
        <w:t>inside the municipal government</w:t>
      </w:r>
      <w:r w:rsidR="00B82B09">
        <w:t xml:space="preserve"> of Montevideo or any other local institution.</w:t>
      </w:r>
      <w:r w:rsidRPr="00D04733">
        <w:t xml:space="preserve"> </w:t>
      </w:r>
      <w:r w:rsidR="007C5D03">
        <w:t>T</w:t>
      </w:r>
      <w:r>
        <w:t xml:space="preserve">he </w:t>
      </w:r>
      <w:r w:rsidR="00B82B09">
        <w:t xml:space="preserve">available </w:t>
      </w:r>
      <w:r>
        <w:t>evidence suggest</w:t>
      </w:r>
      <w:r w:rsidR="007C5D03">
        <w:t>s</w:t>
      </w:r>
      <w:r>
        <w:t xml:space="preserve"> </w:t>
      </w:r>
      <w:r w:rsidR="007C5D03">
        <w:t xml:space="preserve">it was an idea proposed or imposed by the Inter American Development Bank to the municipal government of Montevideo </w:t>
      </w:r>
      <w:r>
        <w:t>(</w:t>
      </w:r>
      <w:r w:rsidR="002F790B">
        <w:t xml:space="preserve">Caffera, 2004). </w:t>
      </w:r>
      <w:r w:rsidR="007C5D03">
        <w:t>Reassuringly</w:t>
      </w:r>
      <w:r w:rsidR="00B53093">
        <w:t xml:space="preserve">, </w:t>
      </w:r>
      <w:r w:rsidR="00C25058" w:rsidRPr="00D04733">
        <w:t xml:space="preserve">the municipal government </w:t>
      </w:r>
      <w:r w:rsidR="00B53093">
        <w:t xml:space="preserve">officials did not </w:t>
      </w:r>
      <w:r w:rsidR="00C25058" w:rsidRPr="00D04733">
        <w:t xml:space="preserve">defend the effluent charges in terms of an economically sound instrument to internalize an externality. </w:t>
      </w:r>
      <w:r w:rsidR="00B53093">
        <w:t>The reason why is that they did not have a</w:t>
      </w:r>
      <w:r w:rsidR="00234050">
        <w:t xml:space="preserve"> clear understanding of the advantages of this instrument with respect to the existing effluent standards so as to defend it comprehensively in congress. </w:t>
      </w:r>
      <w:r w:rsidR="00234050">
        <w:lastRenderedPageBreak/>
        <w:t xml:space="preserve">Neither did the </w:t>
      </w:r>
      <w:r w:rsidR="00234050" w:rsidRPr="00D04733">
        <w:t xml:space="preserve">legislators </w:t>
      </w:r>
      <w:r w:rsidR="00234050">
        <w:t>that favored them</w:t>
      </w:r>
      <w:r w:rsidR="00C25058">
        <w:t xml:space="preserve">. </w:t>
      </w:r>
      <w:r w:rsidR="00234050">
        <w:t>T</w:t>
      </w:r>
      <w:r w:rsidR="00C25058">
        <w:t>he discussion during the session of the Chamber of Representatives that ended with the repeal of these charges reveals their lack of understanding of the basic economic principles behind these instruments</w:t>
      </w:r>
      <w:r w:rsidR="00C25058">
        <w:rPr>
          <w:lang w:val="en-GB"/>
        </w:rPr>
        <w:t xml:space="preserve"> (see República Oriental del Uruguay, 1996).</w:t>
      </w:r>
      <w:r w:rsidR="00C25058">
        <w:rPr>
          <w:rStyle w:val="Refdenotaalpie"/>
        </w:rPr>
        <w:footnoteReference w:id="25"/>
      </w:r>
      <w:r w:rsidR="00C25058">
        <w:t xml:space="preserve"> </w:t>
      </w:r>
    </w:p>
    <w:p w:rsidR="00EB6CF6" w:rsidRPr="00EB6CF6" w:rsidRDefault="00EB6CF6" w:rsidP="00EB6CF6">
      <w:pPr>
        <w:pStyle w:val="Ttulo2"/>
      </w:pPr>
    </w:p>
    <w:p w:rsidR="00EC6B89" w:rsidRDefault="007D3313" w:rsidP="007D3313">
      <w:pPr>
        <w:pStyle w:val="Ttulo1"/>
        <w:numPr>
          <w:ilvl w:val="0"/>
          <w:numId w:val="8"/>
        </w:numPr>
      </w:pPr>
      <w:r>
        <w:t>INSTRUMENT CHOICE IN LATIN AMERICA: A CONCLUDING DISCUSSION</w:t>
      </w:r>
    </w:p>
    <w:p w:rsidR="0015485C" w:rsidRDefault="00DC27D7" w:rsidP="00505E06">
      <w:pPr>
        <w:pStyle w:val="paragraph-chapters"/>
        <w:spacing w:line="360" w:lineRule="auto"/>
      </w:pPr>
      <w:r>
        <w:t xml:space="preserve">What </w:t>
      </w:r>
      <w:r w:rsidR="00505E06">
        <w:t xml:space="preserve">can be concluded </w:t>
      </w:r>
      <w:r>
        <w:t>to</w:t>
      </w:r>
      <w:r w:rsidR="00B50071">
        <w:t xml:space="preserve"> explain the dissimilar experience of Latin American countries with economic </w:t>
      </w:r>
      <w:r w:rsidR="00505E06">
        <w:t>instruments?</w:t>
      </w:r>
      <w:r w:rsidR="00B50071">
        <w:t xml:space="preserve"> </w:t>
      </w:r>
    </w:p>
    <w:p w:rsidR="00765EE4" w:rsidRDefault="00A53E97" w:rsidP="00765EE4">
      <w:pPr>
        <w:pStyle w:val="paragraph-chapters"/>
        <w:spacing w:line="360" w:lineRule="auto"/>
      </w:pPr>
      <w:r>
        <w:t>F</w:t>
      </w:r>
      <w:r w:rsidR="00987530">
        <w:t>irst</w:t>
      </w:r>
      <w:r>
        <w:t xml:space="preserve">, </w:t>
      </w:r>
      <w:r w:rsidR="00987530">
        <w:t xml:space="preserve">the differences in institutional capacity </w:t>
      </w:r>
      <w:r>
        <w:t xml:space="preserve">do not explain </w:t>
      </w:r>
      <w:r w:rsidR="00987530">
        <w:t>the dissimilar experiences</w:t>
      </w:r>
      <w:r>
        <w:t xml:space="preserve"> completely</w:t>
      </w:r>
      <w:r w:rsidR="00987530">
        <w:t xml:space="preserve">. I have </w:t>
      </w:r>
      <w:r w:rsidR="001D5F52">
        <w:t xml:space="preserve">shown above that, according to the existing literature, </w:t>
      </w:r>
      <w:r w:rsidR="00987530">
        <w:t xml:space="preserve">countries that did implement economic instruments </w:t>
      </w:r>
      <w:r>
        <w:t xml:space="preserve">do not </w:t>
      </w:r>
      <w:r w:rsidR="00987530">
        <w:t xml:space="preserve">unequivocally </w:t>
      </w:r>
      <w:r>
        <w:t>have better</w:t>
      </w:r>
      <w:r w:rsidR="00987530">
        <w:t xml:space="preserve"> </w:t>
      </w:r>
      <w:r>
        <w:t>i</w:t>
      </w:r>
      <w:r w:rsidR="00987530">
        <w:t>nstitutional capacity tha</w:t>
      </w:r>
      <w:r>
        <w:t>n</w:t>
      </w:r>
      <w:r w:rsidR="00987530">
        <w:t xml:space="preserve"> others that did not. At least </w:t>
      </w:r>
      <w:r>
        <w:t xml:space="preserve">in terms of what </w:t>
      </w:r>
      <w:r w:rsidR="00F145DC">
        <w:t xml:space="preserve">is generally understood </w:t>
      </w:r>
      <w:r>
        <w:t xml:space="preserve">by institutional capacity </w:t>
      </w:r>
      <w:r w:rsidR="00F145DC">
        <w:t xml:space="preserve">in the literature. Second, </w:t>
      </w:r>
      <w:r w:rsidR="00D40266">
        <w:t>t</w:t>
      </w:r>
      <w:r w:rsidR="00F2715A">
        <w:t xml:space="preserve">here is no obvious </w:t>
      </w:r>
      <w:r w:rsidR="00F2715A" w:rsidRPr="00F2715A">
        <w:t xml:space="preserve">empirical regularity in the political </w:t>
      </w:r>
      <w:r w:rsidR="00D40266">
        <w:t xml:space="preserve">economy </w:t>
      </w:r>
      <w:r w:rsidR="00F2715A" w:rsidRPr="00F2715A">
        <w:t>arena in these experiences that c</w:t>
      </w:r>
      <w:r w:rsidR="00D40266">
        <w:t>an explain why Chile, Colombia and Costa succeeded while others did not.</w:t>
      </w:r>
      <w:r w:rsidR="00F2715A" w:rsidRPr="00F2715A">
        <w:t xml:space="preserve">  </w:t>
      </w:r>
      <w:r w:rsidR="00665351">
        <w:t>Santiago’</w:t>
      </w:r>
      <w:r w:rsidR="00D40266">
        <w:t>s ECP was the product of</w:t>
      </w:r>
      <w:r w:rsidR="00665351">
        <w:t xml:space="preserve"> very special</w:t>
      </w:r>
      <w:r w:rsidR="00D40266">
        <w:t xml:space="preserve"> political and economic</w:t>
      </w:r>
      <w:r w:rsidR="00665351">
        <w:t xml:space="preserve"> time</w:t>
      </w:r>
      <w:r w:rsidR="00D40266">
        <w:t>s. The process that ended in the first non-OECD experience with tradable permits</w:t>
      </w:r>
      <w:r w:rsidR="00665351">
        <w:t xml:space="preserve"> lasted less than two years</w:t>
      </w:r>
      <w:r w:rsidR="00F90C0A">
        <w:t xml:space="preserve">. </w:t>
      </w:r>
      <w:r w:rsidR="00665351" w:rsidRPr="00665351">
        <w:t xml:space="preserve">In contrast, Colombia’s effluent charges were the product of a </w:t>
      </w:r>
      <w:r w:rsidR="00D40266">
        <w:t xml:space="preserve">more </w:t>
      </w:r>
      <w:r w:rsidR="00FC4962">
        <w:t>slow</w:t>
      </w:r>
      <w:r w:rsidR="00665351" w:rsidRPr="00665351">
        <w:t xml:space="preserve"> and careful evolution of its environmental inst</w:t>
      </w:r>
      <w:r w:rsidR="00665351">
        <w:t>i</w:t>
      </w:r>
      <w:r w:rsidR="00665351" w:rsidRPr="00665351">
        <w:t xml:space="preserve">tutions. </w:t>
      </w:r>
      <w:r w:rsidR="00EF6BD9">
        <w:t xml:space="preserve">Costa Rica’s environmental fees, on the other hand, were at the same time proposed by </w:t>
      </w:r>
      <w:r w:rsidR="00D40266">
        <w:t>a regional agency, not the national government, although a</w:t>
      </w:r>
      <w:r w:rsidR="00EF6BD9">
        <w:t xml:space="preserve">lso matched an internal evolution of its environmental policy. </w:t>
      </w:r>
      <w:r w:rsidR="008A17E7">
        <w:t>But</w:t>
      </w:r>
      <w:r w:rsidR="00F2715A" w:rsidRPr="006F2D44">
        <w:t xml:space="preserve"> </w:t>
      </w:r>
      <w:r w:rsidR="004D1FE5">
        <w:t xml:space="preserve">from a political economy </w:t>
      </w:r>
      <w:r w:rsidR="004D1FE5">
        <w:lastRenderedPageBreak/>
        <w:t xml:space="preserve">perspective, </w:t>
      </w:r>
      <w:r w:rsidR="008A17E7">
        <w:t xml:space="preserve">process </w:t>
      </w:r>
      <w:r w:rsidR="004D1FE5">
        <w:t xml:space="preserve">in Uruguay was similar to that of Costa Rica (although it had a different end, of course), and it was similar to what could have been in more advanced countries: the industry opposed the charge, legislators maximized votes, and workers and consumers did not participate much in the debate. With some exceptions, NGOs did not participate much in the debate either. This lack of participation could have been related with their lack of understanding of basic environmental economics concepts. </w:t>
      </w:r>
      <w:r w:rsidR="00E42221">
        <w:t>But i</w:t>
      </w:r>
      <w:r w:rsidR="004D1FE5">
        <w:t xml:space="preserve">n spite of this, they supported the charges as complements to prescriptive instruments and as revenue generating instruments (Gudynas, 1996 and 1999). </w:t>
      </w:r>
    </w:p>
    <w:p w:rsidR="00E603DD" w:rsidRDefault="008A17E7" w:rsidP="00765EE4">
      <w:pPr>
        <w:pStyle w:val="paragraph-chapters"/>
        <w:spacing w:line="360" w:lineRule="auto"/>
      </w:pPr>
      <w:r>
        <w:t>A</w:t>
      </w:r>
      <w:r w:rsidR="00B864E3">
        <w:t>n empirical regularity that can be observed is that the three Latin American countries th</w:t>
      </w:r>
      <w:r w:rsidR="00765EE4">
        <w:t>at</w:t>
      </w:r>
      <w:r w:rsidR="00B864E3">
        <w:t xml:space="preserve"> implemented economic instruments had </w:t>
      </w:r>
      <w:r w:rsidR="00B864E3" w:rsidRPr="00C46740">
        <w:t>economists working at decisive places</w:t>
      </w:r>
      <w:r w:rsidR="00B864E3">
        <w:t xml:space="preserve"> at the time of the instrument were proposed. These economists had the necessary </w:t>
      </w:r>
      <w:r w:rsidR="00B864E3" w:rsidRPr="00C46740">
        <w:t>political connections and support</w:t>
      </w:r>
      <w:r w:rsidR="00B864E3">
        <w:t>, and played a prominent role in the explaining the t</w:t>
      </w:r>
      <w:r w:rsidR="00B864E3" w:rsidRPr="00C46740">
        <w:t xml:space="preserve">heoretical merits of the proposed legislation in congress and </w:t>
      </w:r>
      <w:r>
        <w:t xml:space="preserve">in </w:t>
      </w:r>
      <w:r w:rsidR="00B864E3">
        <w:t xml:space="preserve">the negotiations with different </w:t>
      </w:r>
      <w:r w:rsidR="00B864E3" w:rsidRPr="00C46740">
        <w:t>stake holders (such as the business sector)</w:t>
      </w:r>
      <w:r w:rsidR="00B864E3">
        <w:t xml:space="preserve">. </w:t>
      </w:r>
    </w:p>
    <w:p w:rsidR="00E603DD" w:rsidRDefault="00765EE4" w:rsidP="00765EE4">
      <w:pPr>
        <w:pStyle w:val="paragraph-chapters"/>
        <w:spacing w:line="360" w:lineRule="auto"/>
      </w:pPr>
      <w:r>
        <w:t>In Costa Rica, this role was performed by Hubert Mendez</w:t>
      </w:r>
      <w:r w:rsidR="00E64A1A">
        <w:t xml:space="preserve">, who apart from being former </w:t>
      </w:r>
      <w:r w:rsidR="00E64A1A" w:rsidRPr="008F64D6">
        <w:t>Mayor</w:t>
      </w:r>
      <w:r w:rsidR="00E64A1A">
        <w:t xml:space="preserve"> of San José and National Environmental Comptroller of Costa Rica, is an environmental economist.</w:t>
      </w:r>
      <w:r w:rsidR="00E603DD">
        <w:t xml:space="preserve"> He</w:t>
      </w:r>
      <w:r w:rsidR="007B4753">
        <w:t xml:space="preserve"> is co-author </w:t>
      </w:r>
      <w:r w:rsidR="00E603DD">
        <w:t xml:space="preserve">of the technical document edited by the Central American Commission for the Environment and Development, based on which the Decree 31176 was written. He </w:t>
      </w:r>
      <w:r w:rsidR="007B4753">
        <w:t xml:space="preserve">also </w:t>
      </w:r>
      <w:r w:rsidR="00E603DD">
        <w:t xml:space="preserve">spent two years in the constitutional room defending the project when this was been </w:t>
      </w:r>
      <w:r w:rsidR="00E603DD" w:rsidRPr="00595581">
        <w:t>contested in court by the Sugarcane Agro-industrial League of Costa Rica</w:t>
      </w:r>
      <w:r w:rsidR="00E603DD">
        <w:t>.</w:t>
      </w:r>
      <w:r w:rsidR="007B4753">
        <w:rPr>
          <w:rStyle w:val="Refdenotaalpie"/>
        </w:rPr>
        <w:footnoteReference w:id="26"/>
      </w:r>
    </w:p>
    <w:p w:rsidR="00B864E3" w:rsidRDefault="00E64A1A" w:rsidP="00765EE4">
      <w:pPr>
        <w:pStyle w:val="paragraph-chapters"/>
        <w:spacing w:line="360" w:lineRule="auto"/>
      </w:pPr>
      <w:r>
        <w:t xml:space="preserve">In Colombia, this role was performed by Eduardo Uribe. </w:t>
      </w:r>
      <w:r w:rsidR="001A20C8">
        <w:t>A</w:t>
      </w:r>
      <w:r w:rsidR="00506DAF">
        <w:t>n environmental economist,</w:t>
      </w:r>
      <w:r>
        <w:t xml:space="preserve"> </w:t>
      </w:r>
      <w:r w:rsidR="001A20C8">
        <w:t xml:space="preserve">he </w:t>
      </w:r>
      <w:r>
        <w:t xml:space="preserve">was co-writer of law 99 of 1993. This law developed from the policy document endorsed by the National Council. </w:t>
      </w:r>
      <w:r w:rsidR="000E4AFF">
        <w:t xml:space="preserve">The Department of National Planning, </w:t>
      </w:r>
      <w:r w:rsidR="008A345C">
        <w:t xml:space="preserve">where Uribe worked, </w:t>
      </w:r>
      <w:r w:rsidR="000E4AFF">
        <w:t xml:space="preserve">added the development of economic instruments to </w:t>
      </w:r>
      <w:r w:rsidR="00797AD7">
        <w:t xml:space="preserve">this document, including the distinctive adjustment mechanism of Colombian effluent charge, </w:t>
      </w:r>
      <w:r w:rsidR="000E4AFF">
        <w:t xml:space="preserve">based on the classical environmental economics text-book </w:t>
      </w:r>
      <w:r w:rsidR="00B97D52">
        <w:t xml:space="preserve">of </w:t>
      </w:r>
      <w:r w:rsidR="000E4AFF">
        <w:t>Baumol and Oates (Uribe, 2004).</w:t>
      </w:r>
      <w:r w:rsidR="00E603DD">
        <w:t xml:space="preserve"> </w:t>
      </w:r>
      <w:r w:rsidR="00506DAF">
        <w:t xml:space="preserve">Uribe was also one of the two delegates representing the national government </w:t>
      </w:r>
      <w:r w:rsidR="00506DAF" w:rsidRPr="00C323AB">
        <w:t>throu</w:t>
      </w:r>
      <w:r w:rsidR="00506DAF">
        <w:t>gh</w:t>
      </w:r>
      <w:r w:rsidR="00506DAF" w:rsidRPr="00C323AB">
        <w:t>out</w:t>
      </w:r>
      <w:r w:rsidR="00506DAF">
        <w:t xml:space="preserve"> the consultation process and discussions in Congress.</w:t>
      </w:r>
      <w:r w:rsidR="00B53C6A">
        <w:t xml:space="preserve"> Law 99 also created the Office of </w:t>
      </w:r>
      <w:r w:rsidR="00B53C6A">
        <w:lastRenderedPageBreak/>
        <w:t xml:space="preserve">Economic Analysis of the Ministry of the Environment. This office, which played a significant role in the implementation of the discharge </w:t>
      </w:r>
      <w:r w:rsidR="00220F4C">
        <w:t>fees,</w:t>
      </w:r>
      <w:r w:rsidR="00B53C6A">
        <w:t xml:space="preserve"> was headed in that period by Thomas Black, another environmental economist. </w:t>
      </w:r>
    </w:p>
    <w:p w:rsidR="006F2D44" w:rsidRDefault="00B864E3" w:rsidP="006F2D44">
      <w:pPr>
        <w:pStyle w:val="paragraph-chapters"/>
        <w:spacing w:line="360" w:lineRule="auto"/>
      </w:pPr>
      <w:r>
        <w:t xml:space="preserve">There is no documented </w:t>
      </w:r>
      <w:r w:rsidR="001A20C8">
        <w:t>evidence for the case of Chile of such an individual role by an economist in the case of Santiago’s ECP</w:t>
      </w:r>
      <w:r w:rsidR="00FE619F">
        <w:t xml:space="preserve">. </w:t>
      </w:r>
      <w:r>
        <w:t>Nevertheless, Chile</w:t>
      </w:r>
      <w:r w:rsidR="00C02047">
        <w:t xml:space="preserve"> has given e</w:t>
      </w:r>
      <w:r>
        <w:t>conomists a prominent role in the government</w:t>
      </w:r>
      <w:r w:rsidR="00692C74">
        <w:t xml:space="preserve"> in the recent past</w:t>
      </w:r>
      <w:r>
        <w:t xml:space="preserve"> (See Bauer (1997), (1198a), (1998b), (2002) and (2004) for an illustration of this role in the Chilean water markets). </w:t>
      </w:r>
      <w:r w:rsidR="00692C74">
        <w:t xml:space="preserve">Therefore, the absence of </w:t>
      </w:r>
      <w:r w:rsidR="00FE619F">
        <w:t>evidence of an</w:t>
      </w:r>
      <w:r w:rsidR="00692C74">
        <w:t xml:space="preserve"> </w:t>
      </w:r>
      <w:r w:rsidR="00FE619F">
        <w:t xml:space="preserve">individual </w:t>
      </w:r>
      <w:r w:rsidR="00692C74">
        <w:t xml:space="preserve">figure in the design and implementation of Santiago’s ECP may not invalidate my argument. </w:t>
      </w:r>
    </w:p>
    <w:p w:rsidR="002430E7" w:rsidRDefault="00836184" w:rsidP="002430E7">
      <w:pPr>
        <w:pStyle w:val="paragraph-chapters"/>
        <w:spacing w:line="360" w:lineRule="auto"/>
      </w:pPr>
      <w:r>
        <w:rPr>
          <w:bCs/>
        </w:rPr>
        <w:t xml:space="preserve">Moreover, </w:t>
      </w:r>
      <w:r w:rsidR="007040A2">
        <w:rPr>
          <w:bCs/>
        </w:rPr>
        <w:t xml:space="preserve">no national economist was involved in the design or political defense of the 1995 repealed effluent charges in Montevideo. </w:t>
      </w:r>
      <w:r w:rsidR="00001B9B">
        <w:rPr>
          <w:bCs/>
        </w:rPr>
        <w:t xml:space="preserve">Multilateral aid agencies thought that this constraint could be overcome with technical assistant </w:t>
      </w:r>
      <w:r w:rsidR="00001B9B">
        <w:t>to “in-country partners”. But the experience</w:t>
      </w:r>
      <w:r w:rsidR="00BC547C">
        <w:t xml:space="preserve"> showed the opposite. </w:t>
      </w:r>
      <w:r w:rsidR="0044437E">
        <w:t>L</w:t>
      </w:r>
      <w:r w:rsidR="00BC547C">
        <w:t xml:space="preserve">ocal environmental economists or other personnel trained in environmental economics </w:t>
      </w:r>
      <w:r w:rsidR="007C51D8">
        <w:t>are</w:t>
      </w:r>
      <w:r w:rsidR="00BC547C">
        <w:t xml:space="preserve"> frequently scarce</w:t>
      </w:r>
      <w:r w:rsidR="008D0037">
        <w:t xml:space="preserve"> in less developed countries</w:t>
      </w:r>
      <w:r w:rsidR="00BC547C">
        <w:t xml:space="preserve"> </w:t>
      </w:r>
      <w:r w:rsidR="00001B9B">
        <w:t>(Bell, 2003, p.9)</w:t>
      </w:r>
      <w:r w:rsidR="00BC547C">
        <w:t xml:space="preserve">. </w:t>
      </w:r>
      <w:r w:rsidR="002430E7">
        <w:t>This is a story seen in other countries also. For example, Bell and Russell (2002) assert that “(a)</w:t>
      </w:r>
      <w:r w:rsidR="002430E7" w:rsidRPr="003A1CBA">
        <w:t>fter the fall of communism, the multilateral development banks and the Western industrialized countries promoted market-based instruments to a Central European audience eager for alternatives to central planning</w:t>
      </w:r>
      <w:r w:rsidR="002430E7">
        <w:t>”. Tradable permit schemes were “</w:t>
      </w:r>
      <w:r w:rsidR="002430E7" w:rsidRPr="003A1CBA">
        <w:t>pur</w:t>
      </w:r>
      <w:r w:rsidR="002430E7">
        <w:t xml:space="preserve">sued” in Kazakhstan, Poland, </w:t>
      </w:r>
      <w:r w:rsidR="002430E7" w:rsidRPr="003A1CBA">
        <w:t>the Czech Republi</w:t>
      </w:r>
      <w:r w:rsidR="002430E7">
        <w:t>c, and Slovenia (without delivering the desired results)</w:t>
      </w:r>
      <w:r w:rsidR="002430E7" w:rsidRPr="003A1CBA">
        <w:t xml:space="preserve">. </w:t>
      </w:r>
      <w:r w:rsidR="002430E7">
        <w:t xml:space="preserve">What the story tells is that it may be difficult to build the “domestic resolve, will and readiness” (Bell, 2003, p. 5) to implement economic instruments from outside the country in </w:t>
      </w:r>
      <w:r w:rsidR="008D0037">
        <w:t>a</w:t>
      </w:r>
      <w:r w:rsidR="002430E7">
        <w:t xml:space="preserve"> short time. </w:t>
      </w:r>
    </w:p>
    <w:p w:rsidR="00984F2A" w:rsidRDefault="007842CD" w:rsidP="007040A2">
      <w:pPr>
        <w:pStyle w:val="paragraph-chapters"/>
        <w:spacing w:line="360" w:lineRule="auto"/>
      </w:pPr>
      <w:r>
        <w:t>A</w:t>
      </w:r>
      <w:r w:rsidR="00035953">
        <w:t xml:space="preserve">n increase in the understanding of how economic instruments work among legislators, policy makers and regulatory staff was one of the reasons </w:t>
      </w:r>
      <w:r w:rsidR="00222FDD">
        <w:t xml:space="preserve">the US moved towards </w:t>
      </w:r>
      <w:r w:rsidR="00035953">
        <w:t>economic instruments (Hahn and Stavins, 1991 and (Cole and Grossman, 1999). This was achieved through the inclusion of economics training in law schools and the proliferation of public policy programs in universities. Environmental economists played an obvious prominent role in this training.</w:t>
      </w:r>
      <w:r w:rsidR="00222FDD">
        <w:t xml:space="preserve"> </w:t>
      </w:r>
      <w:r w:rsidR="007F1BCB">
        <w:t xml:space="preserve">The implementation of economic instruments in Latin America was not the product of </w:t>
      </w:r>
      <w:r>
        <w:t xml:space="preserve">such </w:t>
      </w:r>
      <w:r w:rsidR="007F1BCB">
        <w:t>an evolution of the environmental institutional framework</w:t>
      </w:r>
      <w:r>
        <w:t>.</w:t>
      </w:r>
    </w:p>
    <w:p w:rsidR="00A84C43" w:rsidRDefault="00C05943" w:rsidP="007040A2">
      <w:pPr>
        <w:pStyle w:val="paragraph-chapters"/>
        <w:spacing w:line="360" w:lineRule="auto"/>
      </w:pPr>
      <w:r>
        <w:lastRenderedPageBreak/>
        <w:t xml:space="preserve">Moreover, one of the lessons from Chile and Colombia’s experience is they have not been as successful as expected. Particularly, they have not been as successful as the paradigmatic US Acid Rain Program. This relative lack of success may be behind the lack of political support that these instruments suffered both in Chile and Colombia in the years following their implementation, as documented by O’Ryan (2002) and Uribe (2004). </w:t>
      </w:r>
      <w:r w:rsidR="00B504A4">
        <w:t xml:space="preserve">In sum, </w:t>
      </w:r>
      <w:r w:rsidR="00222FDD">
        <w:t xml:space="preserve">the region needs both more carefully designed </w:t>
      </w:r>
      <w:r w:rsidR="001E6C62">
        <w:t xml:space="preserve">pollution control programs </w:t>
      </w:r>
      <w:r w:rsidR="00222FDD">
        <w:t>based on economic instruments</w:t>
      </w:r>
      <w:r w:rsidR="001E6C62">
        <w:t xml:space="preserve"> and </w:t>
      </w:r>
      <w:r w:rsidR="00222FDD">
        <w:t xml:space="preserve">better </w:t>
      </w:r>
      <w:r w:rsidR="00A84C43">
        <w:t>understanding of how economic instruments work among legislators, policy makers and regulatory staff</w:t>
      </w:r>
      <w:r w:rsidR="00222FDD">
        <w:t xml:space="preserve"> in order to continue building its environmental institutional framework.</w:t>
      </w:r>
    </w:p>
    <w:p w:rsidR="00091EB6" w:rsidRPr="00F90C0A" w:rsidRDefault="00091EB6" w:rsidP="005C2653">
      <w:pPr>
        <w:pStyle w:val="paragraph-chapters"/>
        <w:spacing w:line="360" w:lineRule="auto"/>
      </w:pPr>
    </w:p>
    <w:p w:rsidR="003E7268" w:rsidRPr="009836B1" w:rsidRDefault="003E19B8" w:rsidP="003E19B8">
      <w:pPr>
        <w:pStyle w:val="Ttulo1"/>
        <w:rPr>
          <w:lang w:val="es-MX"/>
        </w:rPr>
      </w:pPr>
      <w:bookmarkStart w:id="15" w:name="_Toc239545295"/>
      <w:r>
        <w:rPr>
          <w:lang w:val="es-MX"/>
        </w:rPr>
        <w:t>7</w:t>
      </w:r>
      <w:r w:rsidR="003E7268" w:rsidRPr="009836B1">
        <w:rPr>
          <w:lang w:val="es-MX"/>
        </w:rPr>
        <w:t xml:space="preserve">. </w:t>
      </w:r>
      <w:r w:rsidR="003E7268" w:rsidRPr="003E19B8">
        <w:t>REFERENCES</w:t>
      </w:r>
      <w:bookmarkEnd w:id="15"/>
    </w:p>
    <w:p w:rsidR="00670F89" w:rsidRPr="00670F89" w:rsidRDefault="00670F89" w:rsidP="006424D7">
      <w:pPr>
        <w:pStyle w:val="Bibliografa1"/>
        <w:rPr>
          <w:lang w:val="es-MX"/>
        </w:rPr>
      </w:pPr>
      <w:r w:rsidRPr="00670F89">
        <w:rPr>
          <w:lang w:val="es-MX"/>
        </w:rPr>
        <w:t>Acquatella, J. (2001). “Aplicación de Instrumentos econ</w:t>
      </w:r>
      <w:r>
        <w:rPr>
          <w:lang w:val="es-MX"/>
        </w:rPr>
        <w:t>ó</w:t>
      </w:r>
      <w:r w:rsidRPr="00670F89">
        <w:rPr>
          <w:lang w:val="es-MX"/>
        </w:rPr>
        <w:t>micos en la gestión ambiental en Am</w:t>
      </w:r>
      <w:r>
        <w:rPr>
          <w:lang w:val="es-MX"/>
        </w:rPr>
        <w:t xml:space="preserve">érica Latina y el Caribe: desafíos y factores condicionantes”. </w:t>
      </w:r>
      <w:r>
        <w:rPr>
          <w:i/>
          <w:lang w:val="es-MX"/>
        </w:rPr>
        <w:t xml:space="preserve">Serie Medio Ambiente y Desarrollo </w:t>
      </w:r>
      <w:r>
        <w:rPr>
          <w:lang w:val="es-MX"/>
        </w:rPr>
        <w:t>31, CEPAL, Santiago de Chile.</w:t>
      </w:r>
    </w:p>
    <w:p w:rsidR="006424D7" w:rsidRDefault="006424D7" w:rsidP="006424D7">
      <w:pPr>
        <w:pStyle w:val="Bibliografa1"/>
        <w:rPr>
          <w:lang w:val="en-GB"/>
        </w:rPr>
      </w:pPr>
      <w:r w:rsidRPr="00091E11">
        <w:rPr>
          <w:lang w:val="es-UY"/>
        </w:rPr>
        <w:t xml:space="preserve">Barbe, J. P. (1994). </w:t>
      </w:r>
      <w:r>
        <w:rPr>
          <w:lang w:val="en-GB"/>
        </w:rPr>
        <w:t>“Economic Instruments in Environmental Policy an</w:t>
      </w:r>
      <w:r w:rsidR="0038017B">
        <w:rPr>
          <w:lang w:val="en-GB"/>
        </w:rPr>
        <w:t>d</w:t>
      </w:r>
      <w:r>
        <w:rPr>
          <w:lang w:val="en-GB"/>
        </w:rPr>
        <w:t xml:space="preserve"> their relevance to Developing Economies”. Technical Paper No. 92</w:t>
      </w:r>
      <w:r w:rsidR="00AB0B51">
        <w:rPr>
          <w:lang w:val="en-GB"/>
        </w:rPr>
        <w:t xml:space="preserve">. </w:t>
      </w:r>
      <w:r>
        <w:rPr>
          <w:lang w:val="en-GB"/>
        </w:rPr>
        <w:t>OECD.</w:t>
      </w:r>
    </w:p>
    <w:p w:rsidR="00425FFA" w:rsidRDefault="00425FFA" w:rsidP="00425FFA">
      <w:pPr>
        <w:pStyle w:val="Bibliografa1"/>
      </w:pPr>
      <w:r w:rsidRPr="009836B1">
        <w:t xml:space="preserve">Bauer, Carl J. (1997). </w:t>
      </w:r>
      <w:r w:rsidRPr="00425FFA">
        <w:rPr>
          <w:lang w:val="en-GB"/>
        </w:rPr>
        <w:t>"</w:t>
      </w:r>
      <w:r w:rsidRPr="00425FFA">
        <w:t>Bringing water markets down to earth: The political economy of water rights in Chile, 1976-1995</w:t>
      </w:r>
      <w:r w:rsidRPr="00425FFA">
        <w:rPr>
          <w:lang w:val="en-GB"/>
        </w:rPr>
        <w:t>,"</w:t>
      </w:r>
      <w:r>
        <w:t xml:space="preserve"> </w:t>
      </w:r>
      <w:r>
        <w:rPr>
          <w:i/>
          <w:iCs/>
        </w:rPr>
        <w:t>World Development</w:t>
      </w:r>
      <w:r>
        <w:t>, 25 (5), 639-656.</w:t>
      </w:r>
    </w:p>
    <w:p w:rsidR="00425FFA" w:rsidRDefault="00425FFA" w:rsidP="00425FFA">
      <w:pPr>
        <w:pStyle w:val="Bibliografa1"/>
      </w:pPr>
      <w:r w:rsidRPr="00425FFA">
        <w:t>Bauer, Carl J. (1998</w:t>
      </w:r>
      <w:r>
        <w:t>a</w:t>
      </w:r>
      <w:r w:rsidRPr="00425FFA">
        <w:t>). Slippery property rights: Multiple water uses and the neoliberal model in Chile, 1981-1995</w:t>
      </w:r>
      <w:r>
        <w:t xml:space="preserve">," </w:t>
      </w:r>
      <w:r>
        <w:rPr>
          <w:i/>
          <w:iCs/>
        </w:rPr>
        <w:t>Natural Resources Journal</w:t>
      </w:r>
      <w:r>
        <w:t xml:space="preserve">, 38 (1) (Winter), 109-155. </w:t>
      </w:r>
    </w:p>
    <w:p w:rsidR="00425FFA" w:rsidRDefault="00425FFA" w:rsidP="00675C20">
      <w:pPr>
        <w:pStyle w:val="Bibliografa1"/>
        <w:rPr>
          <w:lang w:val="es-ES"/>
        </w:rPr>
      </w:pPr>
      <w:r w:rsidRPr="00425FFA">
        <w:rPr>
          <w:lang w:val="es-ES"/>
        </w:rPr>
        <w:t>Bauer, Carl J. (1998</w:t>
      </w:r>
      <w:r>
        <w:rPr>
          <w:lang w:val="es-ES"/>
        </w:rPr>
        <w:t>b</w:t>
      </w:r>
      <w:r w:rsidRPr="00425FFA">
        <w:rPr>
          <w:lang w:val="es-ES"/>
        </w:rPr>
        <w:t xml:space="preserve">). "Derecho y economía en la Constitución de 1980," </w:t>
      </w:r>
      <w:r w:rsidRPr="00425FFA">
        <w:rPr>
          <w:i/>
          <w:iCs/>
          <w:lang w:val="es-ES"/>
        </w:rPr>
        <w:t>Perspectivas en Política, Economía y Gestión</w:t>
      </w:r>
      <w:r>
        <w:rPr>
          <w:lang w:val="es-ES"/>
        </w:rPr>
        <w:t xml:space="preserve">, </w:t>
      </w:r>
      <w:r w:rsidRPr="00425FFA">
        <w:rPr>
          <w:lang w:val="es-ES"/>
        </w:rPr>
        <w:t>2</w:t>
      </w:r>
      <w:r>
        <w:rPr>
          <w:lang w:val="es-ES"/>
        </w:rPr>
        <w:t xml:space="preserve"> (</w:t>
      </w:r>
      <w:r w:rsidRPr="00425FFA">
        <w:rPr>
          <w:lang w:val="es-ES"/>
        </w:rPr>
        <w:t>1</w:t>
      </w:r>
      <w:r>
        <w:rPr>
          <w:lang w:val="es-ES"/>
        </w:rPr>
        <w:t>)</w:t>
      </w:r>
      <w:r w:rsidRPr="00425FFA">
        <w:rPr>
          <w:lang w:val="es-ES"/>
        </w:rPr>
        <w:t xml:space="preserve">, 23-47 (Santiago, Chile). </w:t>
      </w:r>
    </w:p>
    <w:p w:rsidR="00425FFA" w:rsidRDefault="00425FFA" w:rsidP="00675C20">
      <w:pPr>
        <w:pStyle w:val="Bibliografa1"/>
      </w:pPr>
      <w:r w:rsidRPr="00425FFA">
        <w:rPr>
          <w:lang w:val="es-ES"/>
        </w:rPr>
        <w:t>Bauer, Carl J. (</w:t>
      </w:r>
      <w:r>
        <w:rPr>
          <w:lang w:val="es-ES"/>
        </w:rPr>
        <w:t>2002</w:t>
      </w:r>
      <w:r w:rsidRPr="00425FFA">
        <w:rPr>
          <w:lang w:val="es-ES"/>
        </w:rPr>
        <w:t xml:space="preserve">). </w:t>
      </w:r>
      <w:r w:rsidRPr="0000022D">
        <w:rPr>
          <w:rStyle w:val="nfasis"/>
          <w:i w:val="0"/>
          <w:lang w:val="es-ES"/>
        </w:rPr>
        <w:t>Contra la Corriente: Privatización, Mercados de Agua y el Estado en Chile</w:t>
      </w:r>
      <w:r w:rsidR="006F670A">
        <w:rPr>
          <w:lang w:val="es-ES"/>
        </w:rPr>
        <w:t xml:space="preserve">. </w:t>
      </w:r>
      <w:r w:rsidRPr="006F670A">
        <w:t>LOM Ediciones / Fundación Te</w:t>
      </w:r>
      <w:r w:rsidR="006F670A">
        <w:t>rram / Resources for the Future</w:t>
      </w:r>
      <w:r w:rsidRPr="006F670A">
        <w:t>.</w:t>
      </w:r>
      <w:r w:rsidR="006F670A">
        <w:t xml:space="preserve"> Santiago, Chile.</w:t>
      </w:r>
    </w:p>
    <w:p w:rsidR="006F670A" w:rsidRPr="009836B1" w:rsidRDefault="0000022D" w:rsidP="0000022D">
      <w:pPr>
        <w:pStyle w:val="Bibliografa1"/>
      </w:pPr>
      <w:r w:rsidRPr="009836B1">
        <w:t xml:space="preserve">Bauer, Carl J. (2004). </w:t>
      </w:r>
      <w:r w:rsidR="006F670A" w:rsidRPr="009836B1">
        <w:t>Siren Song: Chilean Water Law as a Model for International</w:t>
      </w:r>
      <w:r w:rsidRPr="009836B1">
        <w:t xml:space="preserve"> </w:t>
      </w:r>
      <w:r w:rsidR="006F670A" w:rsidRPr="009836B1">
        <w:t>Reform. RFF Press. Washington, DC.</w:t>
      </w:r>
    </w:p>
    <w:p w:rsidR="004D7927" w:rsidRDefault="004D7927" w:rsidP="00675C20">
      <w:pPr>
        <w:pStyle w:val="Bibliografa1"/>
        <w:rPr>
          <w:lang w:val="en-GB"/>
        </w:rPr>
      </w:pPr>
      <w:r>
        <w:rPr>
          <w:lang w:val="en-GB"/>
        </w:rPr>
        <w:t>Bell, R.G. (2002). “Are Market-Based Instruments the Right Choice for Countries in Transition?”</w:t>
      </w:r>
      <w:r w:rsidR="00163465">
        <w:rPr>
          <w:lang w:val="en-GB"/>
        </w:rPr>
        <w:t xml:space="preserve"> </w:t>
      </w:r>
      <w:r w:rsidR="00163465">
        <w:rPr>
          <w:i/>
          <w:lang w:val="en-GB"/>
        </w:rPr>
        <w:t>Resources</w:t>
      </w:r>
      <w:r w:rsidR="00163465">
        <w:rPr>
          <w:lang w:val="en-GB"/>
        </w:rPr>
        <w:t>,</w:t>
      </w:r>
      <w:r w:rsidR="00163465">
        <w:rPr>
          <w:i/>
          <w:lang w:val="en-GB"/>
        </w:rPr>
        <w:t xml:space="preserve"> </w:t>
      </w:r>
      <w:r w:rsidR="00163465">
        <w:rPr>
          <w:lang w:val="en-GB"/>
        </w:rPr>
        <w:t>146, 10 14.</w:t>
      </w:r>
    </w:p>
    <w:p w:rsidR="00610552" w:rsidRDefault="00610552" w:rsidP="00675C20">
      <w:pPr>
        <w:pStyle w:val="Bibliografa1"/>
        <w:rPr>
          <w:lang w:val="en-GB"/>
        </w:rPr>
      </w:pPr>
      <w:smartTag w:uri="urn:schemas-microsoft-com:office:smarttags" w:element="City">
        <w:smartTag w:uri="urn:schemas-microsoft-com:office:smarttags" w:element="place">
          <w:r>
            <w:rPr>
              <w:lang w:val="en-GB"/>
            </w:rPr>
            <w:t>Bell</w:t>
          </w:r>
        </w:smartTag>
      </w:smartTag>
      <w:r>
        <w:rPr>
          <w:lang w:val="en-GB"/>
        </w:rPr>
        <w:t xml:space="preserve">, R.G. (2003). “Choosing Environmental Policy </w:t>
      </w:r>
      <w:r w:rsidR="00163465">
        <w:rPr>
          <w:lang w:val="en-GB"/>
        </w:rPr>
        <w:t xml:space="preserve">Instruments in the Real World.” </w:t>
      </w:r>
      <w:r w:rsidR="00D9400A">
        <w:rPr>
          <w:lang w:val="en-GB"/>
        </w:rPr>
        <w:t>Paper prepared for the Concerted Action on Tradable Emissions Permits Country Forum, Paris. OCDE.</w:t>
      </w:r>
    </w:p>
    <w:p w:rsidR="00C257B2" w:rsidRPr="00C257B2" w:rsidRDefault="00C257B2" w:rsidP="00675C20">
      <w:pPr>
        <w:pStyle w:val="Bibliografa1"/>
        <w:rPr>
          <w:lang w:val="en-GB"/>
        </w:rPr>
      </w:pPr>
      <w:smartTag w:uri="urn:schemas-microsoft-com:office:smarttags" w:element="City">
        <w:smartTag w:uri="urn:schemas-microsoft-com:office:smarttags" w:element="place">
          <w:r>
            <w:rPr>
              <w:lang w:val="en-GB"/>
            </w:rPr>
            <w:t>Bell</w:t>
          </w:r>
        </w:smartTag>
      </w:smartTag>
      <w:r>
        <w:rPr>
          <w:lang w:val="en-GB"/>
        </w:rPr>
        <w:t xml:space="preserve">, R.G. (2005). “Culture and History Count: Chossing Environmental Tools to Fit Available Institutions and Experience”. </w:t>
      </w:r>
      <w:smartTag w:uri="urn:schemas-microsoft-com:office:smarttags" w:element="State">
        <w:smartTag w:uri="urn:schemas-microsoft-com:office:smarttags" w:element="place">
          <w:r>
            <w:rPr>
              <w:i/>
              <w:lang w:val="en-GB"/>
            </w:rPr>
            <w:t>Indiana</w:t>
          </w:r>
        </w:smartTag>
      </w:smartTag>
      <w:r>
        <w:rPr>
          <w:i/>
          <w:lang w:val="en-GB"/>
        </w:rPr>
        <w:t xml:space="preserve"> Law Review </w:t>
      </w:r>
      <w:r>
        <w:rPr>
          <w:lang w:val="en-GB"/>
        </w:rPr>
        <w:t>38, 637 – 669.</w:t>
      </w:r>
    </w:p>
    <w:p w:rsidR="00C43C6D" w:rsidRPr="00C43C6D" w:rsidRDefault="00C43C6D" w:rsidP="00675C20">
      <w:pPr>
        <w:pStyle w:val="Bibliografa1"/>
        <w:rPr>
          <w:lang w:val="en-GB"/>
        </w:rPr>
      </w:pPr>
      <w:r>
        <w:rPr>
          <w:lang w:val="en-GB"/>
        </w:rPr>
        <w:t xml:space="preserve">Bell, R.G. and C. Russell (2002). “Environmental Policies for Developing Countries”, </w:t>
      </w:r>
      <w:r>
        <w:rPr>
          <w:i/>
          <w:lang w:val="en-GB"/>
        </w:rPr>
        <w:t>Issues in Science and Technology.</w:t>
      </w:r>
    </w:p>
    <w:p w:rsidR="009C1C95" w:rsidRPr="009836B1" w:rsidRDefault="00066E07" w:rsidP="009C1C95">
      <w:pPr>
        <w:pStyle w:val="Bibliografa1"/>
      </w:pPr>
      <w:r>
        <w:rPr>
          <w:lang w:val="en-GB"/>
        </w:rPr>
        <w:t xml:space="preserve">Böhm, P. and C. S. Russell. (1985). “Comparative analysis of alternative policy instruments”, </w:t>
      </w:r>
      <w:r w:rsidRPr="001E2914">
        <w:rPr>
          <w:iCs/>
          <w:lang w:val="en-GB"/>
        </w:rPr>
        <w:t>in</w:t>
      </w:r>
      <w:r>
        <w:rPr>
          <w:lang w:val="en-GB"/>
        </w:rPr>
        <w:t xml:space="preserve"> Handbook of Natural Resource and Energy Economics, Vol. I, </w:t>
      </w:r>
      <w:r>
        <w:t xml:space="preserve">A.V. Kneese and J.L. Sweeney. </w:t>
      </w:r>
      <w:r w:rsidRPr="009836B1">
        <w:t>(Eds.), Elsevier.</w:t>
      </w:r>
    </w:p>
    <w:p w:rsidR="00B46CF0" w:rsidRDefault="00B46CF0" w:rsidP="009C1C95">
      <w:pPr>
        <w:pStyle w:val="Bibliografa1"/>
      </w:pPr>
      <w:r w:rsidRPr="00B46CF0">
        <w:lastRenderedPageBreak/>
        <w:t xml:space="preserve">Braga, B., C. Strauss and F. Paiva (2005) “Water Charges: Paying for the Commons in Brazil”, </w:t>
      </w:r>
      <w:r w:rsidRPr="00B46CF0">
        <w:rPr>
          <w:i/>
        </w:rPr>
        <w:t xml:space="preserve">International Journal of Water Resources Development </w:t>
      </w:r>
      <w:r w:rsidRPr="00B46CF0">
        <w:rPr>
          <w:b/>
        </w:rPr>
        <w:t>21</w:t>
      </w:r>
      <w:r w:rsidRPr="00B46CF0">
        <w:t xml:space="preserve"> (1), 119 – 132.</w:t>
      </w:r>
    </w:p>
    <w:p w:rsidR="0061786F" w:rsidRDefault="0061786F" w:rsidP="009C1C95">
      <w:pPr>
        <w:pStyle w:val="Bibliografa1"/>
      </w:pPr>
      <w:r w:rsidRPr="00D4402A">
        <w:t xml:space="preserve">Caffera, M. (2004). </w:t>
      </w:r>
      <w:r w:rsidRPr="0061786F">
        <w:t>“The I</w:t>
      </w:r>
      <w:r>
        <w:t>mplementation and Enforcement of Environmental Regulations in a Less Developed Market Economy: Evidence from Uruguay”. Ph.D. Dissertation, University of Massachusetts – Amherst.</w:t>
      </w:r>
    </w:p>
    <w:p w:rsidR="00C84C78" w:rsidRPr="00C84C78" w:rsidRDefault="00C84C78" w:rsidP="009C1C95">
      <w:pPr>
        <w:pStyle w:val="Bibliografa1"/>
        <w:rPr>
          <w:lang w:val="es-MX"/>
        </w:rPr>
      </w:pPr>
      <w:r w:rsidRPr="0061786F">
        <w:t xml:space="preserve">Calfucura, E., Coria, J. And J. M. Sánchez. </w:t>
      </w:r>
      <w:r>
        <w:rPr>
          <w:lang w:val="es-MX"/>
        </w:rPr>
        <w:t>(2008) “</w:t>
      </w:r>
      <w:r w:rsidRPr="00A86D3D">
        <w:rPr>
          <w:lang w:val="es-MX"/>
        </w:rPr>
        <w:t>Permisos Transables de Emisión en C</w:t>
      </w:r>
      <w:r>
        <w:rPr>
          <w:lang w:val="es-MX"/>
        </w:rPr>
        <w:t xml:space="preserve">hile: Lecciones, Desafíos y Oportunidades para Países en Desarrollo”, </w:t>
      </w:r>
      <w:r>
        <w:rPr>
          <w:i/>
          <w:lang w:val="es-MX"/>
        </w:rPr>
        <w:t>Documento de trabajo 347</w:t>
      </w:r>
      <w:r>
        <w:rPr>
          <w:lang w:val="es-MX"/>
        </w:rPr>
        <w:t>, Pontificia Universidad de Chile.</w:t>
      </w:r>
    </w:p>
    <w:p w:rsidR="0059444B" w:rsidRDefault="00776684" w:rsidP="009C1C95">
      <w:pPr>
        <w:pStyle w:val="Bibliografa1"/>
        <w:rPr>
          <w:lang w:val="es-UY"/>
        </w:rPr>
      </w:pPr>
      <w:r>
        <w:rPr>
          <w:lang w:val="es-MX"/>
        </w:rPr>
        <w:t>CEPAL</w:t>
      </w:r>
      <w:r w:rsidR="0059444B" w:rsidRPr="00C84C78">
        <w:rPr>
          <w:lang w:val="es-MX"/>
        </w:rPr>
        <w:t xml:space="preserve"> </w:t>
      </w:r>
      <w:r w:rsidR="0059444B">
        <w:rPr>
          <w:lang w:val="es-UY"/>
        </w:rPr>
        <w:t>(2000). “Instrumentos económicos para el control de la contaminación del agua: condiciones y casos de aplicación” (Versión preliminar), LC/IN. 137.</w:t>
      </w:r>
    </w:p>
    <w:p w:rsidR="0059444B" w:rsidRPr="0059444B" w:rsidRDefault="0059444B" w:rsidP="0059444B">
      <w:pPr>
        <w:pStyle w:val="Bibliografa1"/>
        <w:rPr>
          <w:lang w:val="es-ES"/>
        </w:rPr>
      </w:pPr>
      <w:r>
        <w:rPr>
          <w:lang w:val="es-ES"/>
        </w:rPr>
        <w:t xml:space="preserve">CEPAL </w:t>
      </w:r>
      <w:r w:rsidRPr="0059444B">
        <w:rPr>
          <w:lang w:val="es-ES"/>
        </w:rPr>
        <w:t>(2001)</w:t>
      </w:r>
      <w:r>
        <w:rPr>
          <w:lang w:val="es-ES"/>
        </w:rPr>
        <w:t xml:space="preserve">. </w:t>
      </w:r>
      <w:r w:rsidRPr="0059444B">
        <w:rPr>
          <w:lang w:val="es-ES"/>
        </w:rPr>
        <w:t>“</w:t>
      </w:r>
      <w:r w:rsidR="001B0929" w:rsidRPr="0059444B">
        <w:rPr>
          <w:lang w:val="es-ES"/>
        </w:rPr>
        <w:t>Aplicación</w:t>
      </w:r>
      <w:r w:rsidRPr="0059444B">
        <w:rPr>
          <w:lang w:val="es-ES"/>
        </w:rPr>
        <w:t xml:space="preserve"> de Instrumentos </w:t>
      </w:r>
      <w:r w:rsidR="001B0929" w:rsidRPr="0059444B">
        <w:rPr>
          <w:lang w:val="es-ES"/>
        </w:rPr>
        <w:t>Económicos</w:t>
      </w:r>
      <w:r w:rsidRPr="0059444B">
        <w:rPr>
          <w:lang w:val="es-ES"/>
        </w:rPr>
        <w:t xml:space="preserve"> en la </w:t>
      </w:r>
      <w:r w:rsidR="001B0929" w:rsidRPr="0059444B">
        <w:rPr>
          <w:lang w:val="es-ES"/>
        </w:rPr>
        <w:t>Gestión</w:t>
      </w:r>
      <w:r w:rsidRPr="0059444B">
        <w:rPr>
          <w:lang w:val="es-ES"/>
        </w:rPr>
        <w:t xml:space="preserve"> Ambiental en </w:t>
      </w:r>
      <w:r w:rsidR="001B0929" w:rsidRPr="0059444B">
        <w:rPr>
          <w:lang w:val="es-ES"/>
        </w:rPr>
        <w:t>América</w:t>
      </w:r>
      <w:r w:rsidRPr="0059444B">
        <w:rPr>
          <w:lang w:val="es-ES"/>
        </w:rPr>
        <w:t xml:space="preserve"> </w:t>
      </w:r>
      <w:r w:rsidR="002E2613">
        <w:rPr>
          <w:lang w:val="es-ES"/>
        </w:rPr>
        <w:t>L</w:t>
      </w:r>
      <w:r w:rsidRPr="0059444B">
        <w:rPr>
          <w:lang w:val="es-ES"/>
        </w:rPr>
        <w:t xml:space="preserve">atina y el Caribe: </w:t>
      </w:r>
      <w:r w:rsidR="001B0929" w:rsidRPr="0059444B">
        <w:rPr>
          <w:lang w:val="es-ES"/>
        </w:rPr>
        <w:t>desafíos</w:t>
      </w:r>
      <w:r w:rsidRPr="0059444B">
        <w:rPr>
          <w:lang w:val="es-ES"/>
        </w:rPr>
        <w:t xml:space="preserve"> y factores condicionantes”, </w:t>
      </w:r>
      <w:r w:rsidRPr="00CE1E8B">
        <w:rPr>
          <w:i/>
          <w:lang w:val="es-ES"/>
        </w:rPr>
        <w:t>Serie Medio Ambiente y Desarrollo</w:t>
      </w:r>
      <w:r w:rsidRPr="0059444B">
        <w:rPr>
          <w:lang w:val="es-ES"/>
        </w:rPr>
        <w:t xml:space="preserve"> </w:t>
      </w:r>
      <w:r w:rsidRPr="0059444B">
        <w:rPr>
          <w:b/>
          <w:bCs/>
          <w:lang w:val="es-ES"/>
        </w:rPr>
        <w:t>31</w:t>
      </w:r>
      <w:r w:rsidRPr="0059444B">
        <w:rPr>
          <w:lang w:val="es-ES"/>
        </w:rPr>
        <w:t>, Santiago de Chile.</w:t>
      </w:r>
    </w:p>
    <w:p w:rsidR="000E1409" w:rsidRDefault="000E1409" w:rsidP="000E1409">
      <w:r w:rsidRPr="00113C81">
        <w:rPr>
          <w:lang w:val="es-MX"/>
        </w:rPr>
        <w:t xml:space="preserve">Chávez, C., M. Villena y J. Stranlund. </w:t>
      </w:r>
      <w:r>
        <w:t>(</w:t>
      </w:r>
      <w:r w:rsidRPr="006840DB">
        <w:t>200</w:t>
      </w:r>
      <w:r>
        <w:t>8)</w:t>
      </w:r>
      <w:r w:rsidRPr="006840DB">
        <w:t>. “The Choice of Policy Instruments to</w:t>
      </w:r>
    </w:p>
    <w:p w:rsidR="000E1409" w:rsidRDefault="000E1409" w:rsidP="000E1409">
      <w:pPr>
        <w:ind w:left="720" w:firstLine="45"/>
      </w:pPr>
      <w:r w:rsidRPr="006840DB">
        <w:t>Control Pollution under Costly Enforcement and Incomplete Information”. Unpublished working paper.</w:t>
      </w:r>
    </w:p>
    <w:p w:rsidR="000E1409" w:rsidRDefault="00FA2F30" w:rsidP="000E1409">
      <w:r>
        <w:t>Cole, D. H. and P. Z. Grossman. (1999). “When is Command and Control Efficient?</w:t>
      </w:r>
    </w:p>
    <w:p w:rsidR="00E87660" w:rsidRDefault="00FA2F30" w:rsidP="00E87660">
      <w:pPr>
        <w:ind w:left="720"/>
      </w:pPr>
      <w:r>
        <w:t xml:space="preserve">Institutions, Technology, and the Comparative Efficiency of Alternative Regulatory Regimes for Environmental Protection”. </w:t>
      </w:r>
      <w:r w:rsidRPr="00E87660">
        <w:rPr>
          <w:i/>
        </w:rPr>
        <w:t xml:space="preserve">Wisconsin </w:t>
      </w:r>
      <w:r w:rsidR="004F2738" w:rsidRPr="00E87660">
        <w:rPr>
          <w:i/>
        </w:rPr>
        <w:t>L</w:t>
      </w:r>
      <w:r w:rsidRPr="00E87660">
        <w:rPr>
          <w:i/>
        </w:rPr>
        <w:t xml:space="preserve">aw Review </w:t>
      </w:r>
      <w:r w:rsidRPr="00E87660">
        <w:t>1999, 887 – 938.</w:t>
      </w:r>
    </w:p>
    <w:p w:rsidR="00947234" w:rsidRPr="009836B1" w:rsidRDefault="00947234" w:rsidP="00E87660">
      <w:r w:rsidRPr="009836B1">
        <w:t xml:space="preserve">Congreso de Colombia, Ley 99 </w:t>
      </w:r>
      <w:r w:rsidR="00F10B2F" w:rsidRPr="009836B1">
        <w:t>(</w:t>
      </w:r>
      <w:r w:rsidRPr="009836B1">
        <w:t>1993</w:t>
      </w:r>
      <w:r w:rsidR="00F10B2F" w:rsidRPr="009836B1">
        <w:t>)</w:t>
      </w:r>
      <w:r w:rsidRPr="009836B1">
        <w:t>.</w:t>
      </w:r>
    </w:p>
    <w:p w:rsidR="00E87660" w:rsidRDefault="00E87660" w:rsidP="00E87660">
      <w:r w:rsidRPr="00E87660">
        <w:t xml:space="preserve">Coria, J. </w:t>
      </w:r>
      <w:r w:rsidR="00B17D82">
        <w:t>a</w:t>
      </w:r>
      <w:r w:rsidRPr="00E87660">
        <w:t>nd T. Sterner (2008). “Tradable Permits in</w:t>
      </w:r>
      <w:r>
        <w:t xml:space="preserve"> Developing Countries. Evidence</w:t>
      </w:r>
    </w:p>
    <w:p w:rsidR="006E2641" w:rsidRDefault="00E87660" w:rsidP="006E2641">
      <w:pPr>
        <w:ind w:left="720"/>
      </w:pPr>
      <w:r w:rsidRPr="00E87660">
        <w:t xml:space="preserve">from Air Pollution in Santiago, Chile”. Resources for the Future </w:t>
      </w:r>
      <w:r>
        <w:t>Discussion Paper 08-51.</w:t>
      </w:r>
    </w:p>
    <w:p w:rsidR="006E2641" w:rsidRPr="006E2641" w:rsidRDefault="005770D2" w:rsidP="006E2641">
      <w:pPr>
        <w:rPr>
          <w:lang w:val="es-UY"/>
        </w:rPr>
      </w:pPr>
      <w:r w:rsidRPr="006E2641">
        <w:rPr>
          <w:lang w:val="es-UY"/>
        </w:rPr>
        <w:t>Coronado, H. and E. Uribe (2002). “El Efecto del Regulador y de la Comunidad sobre el</w:t>
      </w:r>
    </w:p>
    <w:p w:rsidR="006E2641" w:rsidRPr="00767FDC" w:rsidRDefault="005770D2" w:rsidP="006E2641">
      <w:pPr>
        <w:ind w:firstLine="720"/>
        <w:rPr>
          <w:lang w:val="es-UY"/>
        </w:rPr>
      </w:pPr>
      <w:r w:rsidRPr="006E2641">
        <w:rPr>
          <w:lang w:val="es-UY"/>
        </w:rPr>
        <w:t xml:space="preserve">Desempeño Ambiental de la Industria en Bogotá, Colombia”. </w:t>
      </w:r>
      <w:r w:rsidR="006E2641" w:rsidRPr="00767FDC">
        <w:rPr>
          <w:lang w:val="es-UY"/>
        </w:rPr>
        <w:t xml:space="preserve">Documento CEDE </w:t>
      </w:r>
    </w:p>
    <w:p w:rsidR="005770D2" w:rsidRPr="00767FDC" w:rsidRDefault="006E2641" w:rsidP="006E2641">
      <w:pPr>
        <w:ind w:firstLine="720"/>
        <w:rPr>
          <w:lang w:val="es-UY"/>
        </w:rPr>
      </w:pPr>
      <w:r w:rsidRPr="00767FDC">
        <w:rPr>
          <w:lang w:val="es-UY"/>
        </w:rPr>
        <w:t>2002-05. Universidad de los Andes.</w:t>
      </w:r>
    </w:p>
    <w:p w:rsidR="002F35CC" w:rsidRDefault="004B6792" w:rsidP="00E87660">
      <w:pPr>
        <w:rPr>
          <w:lang w:val="es-MX"/>
        </w:rPr>
      </w:pPr>
      <w:r w:rsidRPr="009836B1">
        <w:rPr>
          <w:lang w:val="es-MX"/>
        </w:rPr>
        <w:t xml:space="preserve">de </w:t>
      </w:r>
      <w:r w:rsidR="008125AD" w:rsidRPr="009836B1">
        <w:rPr>
          <w:lang w:val="es-MX"/>
        </w:rPr>
        <w:t xml:space="preserve">Gusmao, P. P. (2000). </w:t>
      </w:r>
      <w:r w:rsidR="008125AD" w:rsidRPr="002F35CC">
        <w:rPr>
          <w:lang w:val="es-MX"/>
        </w:rPr>
        <w:t xml:space="preserve">“Desafíos y propuestas para la implementación más </w:t>
      </w:r>
      <w:r w:rsidR="002F35CC" w:rsidRPr="002F35CC">
        <w:rPr>
          <w:lang w:val="es-MX"/>
        </w:rPr>
        <w:t>efectiva</w:t>
      </w:r>
      <w:r w:rsidR="002F35CC">
        <w:rPr>
          <w:lang w:val="es-MX"/>
        </w:rPr>
        <w:t xml:space="preserve"> de</w:t>
      </w:r>
    </w:p>
    <w:p w:rsidR="008125AD" w:rsidRPr="009836B1" w:rsidRDefault="002F35CC" w:rsidP="002F35CC">
      <w:pPr>
        <w:ind w:left="720"/>
        <w:rPr>
          <w:lang w:val="es-MX"/>
        </w:rPr>
      </w:pPr>
      <w:r>
        <w:rPr>
          <w:lang w:val="es-MX"/>
        </w:rPr>
        <w:t>i</w:t>
      </w:r>
      <w:r w:rsidR="008125AD" w:rsidRPr="002F35CC">
        <w:rPr>
          <w:lang w:val="es-MX"/>
        </w:rPr>
        <w:t xml:space="preserve">nstrumentos económicos en la gestión ambiental de América Latina y el Caribe: El caso de Brasil”. </w:t>
      </w:r>
      <w:r w:rsidR="000057F6" w:rsidRPr="009836B1">
        <w:rPr>
          <w:i/>
          <w:lang w:val="es-MX"/>
        </w:rPr>
        <w:t>Serie seminarios y conferencias</w:t>
      </w:r>
      <w:r w:rsidR="000057F6" w:rsidRPr="009836B1">
        <w:rPr>
          <w:lang w:val="es-MX"/>
        </w:rPr>
        <w:t>. CEPAL. Santiago de Chile.</w:t>
      </w:r>
    </w:p>
    <w:p w:rsidR="0093023B" w:rsidRDefault="0093023B" w:rsidP="000C2D4D">
      <w:pPr>
        <w:pStyle w:val="Bibliografa1"/>
        <w:rPr>
          <w:lang w:val="en-GB"/>
        </w:rPr>
      </w:pPr>
      <w:r w:rsidRPr="009836B1">
        <w:rPr>
          <w:lang w:val="es-MX"/>
        </w:rPr>
        <w:t xml:space="preserve">Ellerman, E. D. (2007). </w:t>
      </w:r>
      <w:r>
        <w:rPr>
          <w:lang w:val="en-GB"/>
        </w:rPr>
        <w:t>“Are Cap-and-Trade Programs more Environmentally Effective than Conventional Regulation”, in “Moving to Markets in Environmental Regulation”, Freeman, J. and C. D. Kolstad, eds. Oxford University Press.</w:t>
      </w:r>
    </w:p>
    <w:p w:rsidR="00A479B2" w:rsidRDefault="00A479B2" w:rsidP="000E584B">
      <w:pPr>
        <w:pStyle w:val="Bibliografa1"/>
        <w:rPr>
          <w:lang w:val="es-MX"/>
        </w:rPr>
      </w:pPr>
      <w:r>
        <w:rPr>
          <w:lang w:val="en-GB"/>
        </w:rPr>
        <w:t xml:space="preserve">Escalante, R and F. Aroche (2000). </w:t>
      </w:r>
      <w:r w:rsidRPr="00A479B2">
        <w:rPr>
          <w:lang w:val="es-MX"/>
        </w:rPr>
        <w:t>“Desafíos y propuestas para la implementaci</w:t>
      </w:r>
      <w:r>
        <w:rPr>
          <w:lang w:val="es-MX"/>
        </w:rPr>
        <w:t xml:space="preserve">ón más efectiva de instrumentos económicos en la gestión ambiental de América Latina y el Caribe: El caso de México”. </w:t>
      </w:r>
      <w:r>
        <w:rPr>
          <w:i/>
          <w:lang w:val="es-MX"/>
        </w:rPr>
        <w:t xml:space="preserve">Serie seminarios y conferencias. </w:t>
      </w:r>
      <w:r>
        <w:rPr>
          <w:lang w:val="es-MX"/>
        </w:rPr>
        <w:t>CEPAL/PNUD. Santiago de Chile.</w:t>
      </w:r>
    </w:p>
    <w:p w:rsidR="00CD7673" w:rsidRPr="00CD7673" w:rsidRDefault="00CD7673" w:rsidP="00CD7673">
      <w:pPr>
        <w:pStyle w:val="Bibliografa1"/>
        <w:rPr>
          <w:lang w:val="en-GB"/>
        </w:rPr>
      </w:pPr>
      <w:r w:rsidRPr="00091E11">
        <w:rPr>
          <w:lang w:val="es-UY"/>
        </w:rPr>
        <w:t xml:space="preserve">Esty, Daniel C., Marc Levy, Tanja Srebotnjak, and Alexander de Sherbinin (2005). </w:t>
      </w:r>
      <w:r w:rsidRPr="00CD7673">
        <w:rPr>
          <w:lang w:val="en-GB"/>
        </w:rPr>
        <w:t>2005 Environmental</w:t>
      </w:r>
      <w:r>
        <w:rPr>
          <w:lang w:val="en-GB"/>
        </w:rPr>
        <w:t xml:space="preserve"> </w:t>
      </w:r>
      <w:r w:rsidRPr="00CD7673">
        <w:rPr>
          <w:lang w:val="en-GB"/>
        </w:rPr>
        <w:t>Sustainability Index: Benchmarking National Environmental Stewardship. New</w:t>
      </w:r>
      <w:r>
        <w:rPr>
          <w:lang w:val="en-GB"/>
        </w:rPr>
        <w:t xml:space="preserve"> </w:t>
      </w:r>
      <w:r w:rsidRPr="00CD7673">
        <w:rPr>
          <w:lang w:val="en-GB"/>
        </w:rPr>
        <w:t>Haven: Yale Center for Environmental Law &amp; Policy.</w:t>
      </w:r>
    </w:p>
    <w:p w:rsidR="000C2D4D" w:rsidRDefault="000C2D4D" w:rsidP="000C2D4D">
      <w:pPr>
        <w:pStyle w:val="Bibliografa1"/>
      </w:pPr>
      <w:r w:rsidRPr="000E584B">
        <w:t xml:space="preserve">Eskeland, G. S. and E. Jimenez (1992). </w:t>
      </w:r>
      <w:r>
        <w:rPr>
          <w:lang w:val="en-GB"/>
        </w:rPr>
        <w:t xml:space="preserve">“Policy Instruments for Pollution Control in </w:t>
      </w:r>
      <w:r>
        <w:t xml:space="preserve">Developing Countries”. </w:t>
      </w:r>
      <w:r>
        <w:rPr>
          <w:i/>
          <w:iCs/>
        </w:rPr>
        <w:t>The World Bank Research Observer</w:t>
      </w:r>
      <w:r>
        <w:t xml:space="preserve">, </w:t>
      </w:r>
      <w:r>
        <w:rPr>
          <w:b/>
          <w:bCs/>
        </w:rPr>
        <w:t>7</w:t>
      </w:r>
      <w:r>
        <w:t xml:space="preserve"> (2), 145-169.</w:t>
      </w:r>
    </w:p>
    <w:p w:rsidR="00CD7C43" w:rsidRDefault="00DB643E" w:rsidP="00DB643E">
      <w:pPr>
        <w:pStyle w:val="Bibliografa1"/>
        <w:rPr>
          <w:lang w:val="es-MX"/>
        </w:rPr>
      </w:pPr>
      <w:r>
        <w:lastRenderedPageBreak/>
        <w:t xml:space="preserve">Féres, J., A. Thomas, A. Reynaud and R. Seroa da Motta (2005). </w:t>
      </w:r>
      <w:r w:rsidR="000034BD" w:rsidRPr="000034BD">
        <w:rPr>
          <w:lang w:val="es-MX"/>
        </w:rPr>
        <w:t>“Demanda por Água e Custo de Controle da Poluicao Hidricanas Industrias da bacia do Rio Para</w:t>
      </w:r>
      <w:r w:rsidR="000034BD">
        <w:rPr>
          <w:lang w:val="es-MX"/>
        </w:rPr>
        <w:t xml:space="preserve">íba do Sul”. </w:t>
      </w:r>
      <w:r w:rsidR="00946BBC">
        <w:rPr>
          <w:i/>
          <w:lang w:val="es-MX"/>
        </w:rPr>
        <w:t>Texto para Discussao N</w:t>
      </w:r>
      <w:r w:rsidR="00CD7C43">
        <w:rPr>
          <w:i/>
          <w:lang w:val="es-MX"/>
        </w:rPr>
        <w:t>°</w:t>
      </w:r>
      <w:r w:rsidR="00946BBC">
        <w:rPr>
          <w:i/>
          <w:lang w:val="es-MX"/>
        </w:rPr>
        <w:t xml:space="preserve"> 1084. </w:t>
      </w:r>
      <w:r w:rsidR="00CD7C43">
        <w:rPr>
          <w:lang w:val="es-MX"/>
        </w:rPr>
        <w:t xml:space="preserve">Instituto de Pesquisa </w:t>
      </w:r>
      <w:r w:rsidR="00CC6195">
        <w:rPr>
          <w:lang w:val="es-MX"/>
        </w:rPr>
        <w:t>Económica</w:t>
      </w:r>
      <w:r w:rsidR="00CD7C43">
        <w:rPr>
          <w:lang w:val="es-MX"/>
        </w:rPr>
        <w:t xml:space="preserve"> Aplicada. Rio de Janeiro.</w:t>
      </w:r>
    </w:p>
    <w:p w:rsidR="00DB643E" w:rsidRPr="00DB643E" w:rsidRDefault="00DB643E" w:rsidP="00DB643E">
      <w:pPr>
        <w:pStyle w:val="Bibliografa1"/>
      </w:pPr>
      <w:r w:rsidRPr="00CD7C43">
        <w:t xml:space="preserve">Field, B. and M. Field. </w:t>
      </w:r>
      <w:r>
        <w:t>(2001). Environmental Economics. An Introduction. Third Editi</w:t>
      </w:r>
      <w:r w:rsidRPr="00DB643E">
        <w:t xml:space="preserve">on. McGraw Hill / Irwin. </w:t>
      </w:r>
    </w:p>
    <w:p w:rsidR="00F81571" w:rsidRDefault="00F81571" w:rsidP="00F81571">
      <w:pPr>
        <w:pStyle w:val="Bibliografa1"/>
        <w:rPr>
          <w:lang w:val="es-MX"/>
        </w:rPr>
      </w:pPr>
      <w:r>
        <w:t xml:space="preserve">Freeman, J. and C. D. Kolstad (2007) “Prescriptive Environmental Regulations versus Market-Based Incentives”, </w:t>
      </w:r>
      <w:r>
        <w:rPr>
          <w:lang w:val="en-GB"/>
        </w:rPr>
        <w:t xml:space="preserve">in “Moving to Markets in Environmental Regulation”, Freeman, J. and C. D. Kolstad, eds. </w:t>
      </w:r>
      <w:r w:rsidRPr="007E3007">
        <w:rPr>
          <w:lang w:val="es-MX"/>
        </w:rPr>
        <w:t>Oxford University Press.</w:t>
      </w:r>
    </w:p>
    <w:p w:rsidR="00362EC3" w:rsidRPr="007E3007" w:rsidRDefault="00362EC3" w:rsidP="00F81571">
      <w:pPr>
        <w:pStyle w:val="Bibliografa1"/>
        <w:rPr>
          <w:lang w:val="es-MX"/>
        </w:rPr>
      </w:pPr>
      <w:r>
        <w:rPr>
          <w:lang w:val="es-MX"/>
        </w:rPr>
        <w:t>Krause, M. (2009). Índice de Calidad Institucional 2009. International Policy Network. London.</w:t>
      </w:r>
    </w:p>
    <w:p w:rsidR="00E434F3" w:rsidRDefault="00346BB1" w:rsidP="00346BB1">
      <w:pPr>
        <w:pStyle w:val="Bibliografa1"/>
        <w:rPr>
          <w:lang w:val="es-MX"/>
        </w:rPr>
      </w:pPr>
      <w:r w:rsidRPr="00E434F3">
        <w:rPr>
          <w:lang w:val="es-MX"/>
        </w:rPr>
        <w:t>Ministerio de Ambiente</w:t>
      </w:r>
      <w:r>
        <w:rPr>
          <w:lang w:val="es-MX"/>
        </w:rPr>
        <w:t xml:space="preserve">, Vivienda y Desarrollo Territorial, República de Colombia. (2003). Decreto 3100 de 2003. </w:t>
      </w:r>
      <w:r>
        <w:rPr>
          <w:i/>
          <w:lang w:val="es-MX"/>
        </w:rPr>
        <w:t xml:space="preserve">Diario Oficial </w:t>
      </w:r>
      <w:r w:rsidRPr="00346BB1">
        <w:rPr>
          <w:lang w:val="es-MX"/>
        </w:rPr>
        <w:t>No. 45.357, de 31 de octubre de 2003</w:t>
      </w:r>
      <w:r>
        <w:rPr>
          <w:lang w:val="es-MX"/>
        </w:rPr>
        <w:t>.</w:t>
      </w:r>
    </w:p>
    <w:p w:rsidR="007E3007" w:rsidRPr="00E97B84" w:rsidRDefault="007E3007" w:rsidP="007E3007">
      <w:pPr>
        <w:pStyle w:val="Bibliografa1"/>
        <w:rPr>
          <w:lang w:val="es-MX"/>
        </w:rPr>
      </w:pPr>
      <w:r>
        <w:rPr>
          <w:lang w:val="es-MX"/>
        </w:rPr>
        <w:t xml:space="preserve">Ministerio del Ambiente y Energía, República de Costa Rica. (2008). </w:t>
      </w:r>
      <w:r w:rsidR="00E97B84">
        <w:rPr>
          <w:lang w:val="es-MX"/>
        </w:rPr>
        <w:t xml:space="preserve">Decreto 34431. </w:t>
      </w:r>
      <w:r w:rsidR="00E97B84">
        <w:rPr>
          <w:i/>
          <w:lang w:val="es-MX"/>
        </w:rPr>
        <w:t xml:space="preserve">Gaceta </w:t>
      </w:r>
      <w:r w:rsidR="00E97B84">
        <w:rPr>
          <w:lang w:val="es-MX"/>
        </w:rPr>
        <w:t>74 del 17 de abril de 2008.</w:t>
      </w:r>
    </w:p>
    <w:p w:rsidR="007E3007" w:rsidRDefault="007E3007" w:rsidP="007E3007">
      <w:pPr>
        <w:pStyle w:val="Bibliografa1"/>
        <w:rPr>
          <w:lang w:val="es-MX"/>
        </w:rPr>
      </w:pPr>
      <w:r w:rsidRPr="00E434F3">
        <w:rPr>
          <w:lang w:val="es-MX"/>
        </w:rPr>
        <w:t>Ministerio de Medio Ambiente</w:t>
      </w:r>
      <w:r>
        <w:rPr>
          <w:lang w:val="es-MX"/>
        </w:rPr>
        <w:t xml:space="preserve">, República de Colombia. (1997). Decreto 901 de 1997. </w:t>
      </w:r>
      <w:r>
        <w:rPr>
          <w:i/>
          <w:lang w:val="es-MX"/>
        </w:rPr>
        <w:t xml:space="preserve">Diario Oficial </w:t>
      </w:r>
      <w:r>
        <w:rPr>
          <w:lang w:val="es-MX"/>
        </w:rPr>
        <w:t>del 4 de abril de 1997</w:t>
      </w:r>
    </w:p>
    <w:p w:rsidR="00792C10" w:rsidRDefault="00792C10" w:rsidP="0059444B">
      <w:pPr>
        <w:pStyle w:val="Bibliografa1"/>
        <w:rPr>
          <w:lang w:val="es-ES"/>
        </w:rPr>
      </w:pPr>
      <w:r w:rsidRPr="00D54610">
        <w:rPr>
          <w:lang w:val="es-MX"/>
        </w:rPr>
        <w:t>Gudynas, E. (1996)</w:t>
      </w:r>
      <w:r>
        <w:rPr>
          <w:lang w:val="es-ES"/>
        </w:rPr>
        <w:t xml:space="preserve">. “Economía Política de la Tasa  de Saneamiento”. </w:t>
      </w:r>
      <w:r w:rsidRPr="00792C10">
        <w:rPr>
          <w:i/>
          <w:lang w:val="es-ES"/>
        </w:rPr>
        <w:t>Temas Clave</w:t>
      </w:r>
      <w:r>
        <w:rPr>
          <w:lang w:val="es-ES"/>
        </w:rPr>
        <w:t xml:space="preserve"> Nº 3, Junio, Centro </w:t>
      </w:r>
      <w:r w:rsidR="00325B18">
        <w:rPr>
          <w:lang w:val="es-ES"/>
        </w:rPr>
        <w:t>L</w:t>
      </w:r>
      <w:r>
        <w:rPr>
          <w:lang w:val="es-ES"/>
        </w:rPr>
        <w:t>atinoamericano de Ecología Social.</w:t>
      </w:r>
    </w:p>
    <w:p w:rsidR="0016513D" w:rsidRDefault="0016513D" w:rsidP="0059444B">
      <w:pPr>
        <w:pStyle w:val="Bibliografa1"/>
        <w:rPr>
          <w:lang w:val="es-ES"/>
        </w:rPr>
      </w:pPr>
      <w:r>
        <w:rPr>
          <w:lang w:val="es-ES"/>
        </w:rPr>
        <w:t>Gudynas, E. (1999). “Economía, Procesos</w:t>
      </w:r>
      <w:r w:rsidR="00CC7E53">
        <w:rPr>
          <w:lang w:val="es-ES"/>
        </w:rPr>
        <w:t xml:space="preserve"> Productivos</w:t>
      </w:r>
      <w:r>
        <w:rPr>
          <w:lang w:val="es-ES"/>
        </w:rPr>
        <w:t xml:space="preserve"> e Instrumentos Económicos en el Desarrollo Sustentable”. </w:t>
      </w:r>
      <w:r w:rsidRPr="00792C10">
        <w:rPr>
          <w:i/>
          <w:lang w:val="es-ES"/>
        </w:rPr>
        <w:t>Temas Clave</w:t>
      </w:r>
      <w:r>
        <w:rPr>
          <w:lang w:val="es-ES"/>
        </w:rPr>
        <w:t xml:space="preserve"> Nº 8, Octubre, Centro Latinoamericano de Ecología Social.</w:t>
      </w:r>
    </w:p>
    <w:p w:rsidR="008A4FF8" w:rsidRDefault="008A4FF8" w:rsidP="0059444B">
      <w:pPr>
        <w:pStyle w:val="Bibliografa1"/>
        <w:rPr>
          <w:lang w:val="es-ES"/>
        </w:rPr>
      </w:pPr>
      <w:r>
        <w:rPr>
          <w:lang w:val="es-ES"/>
        </w:rPr>
        <w:t>Gudynas, E. (2001). “Tensiones y Posibilidades de la Ecología Política en Uruguay”, in “Políticas Ambientales en Uruguay”, E. Gudynas (ed.), Coscoroba, Montevideo.</w:t>
      </w:r>
    </w:p>
    <w:p w:rsidR="00325B18" w:rsidRPr="00325B18" w:rsidRDefault="00325B18" w:rsidP="0059444B">
      <w:pPr>
        <w:pStyle w:val="Bibliografa1"/>
      </w:pPr>
      <w:r w:rsidRPr="00325B18">
        <w:t xml:space="preserve">Gunningham, N., P. Grabosky and D. </w:t>
      </w:r>
      <w:r>
        <w:t xml:space="preserve">Sinclair (1998). </w:t>
      </w:r>
      <w:r w:rsidR="00AB0B51">
        <w:t xml:space="preserve">“Smart Regulation, Designing Environmental Policy.” </w:t>
      </w:r>
      <w:smartTag w:uri="urn:schemas-microsoft-com:office:smarttags" w:element="City">
        <w:smartTag w:uri="urn:schemas-microsoft-com:office:smarttags" w:element="place">
          <w:r w:rsidR="00AB0B51">
            <w:t>Oxford</w:t>
          </w:r>
        </w:smartTag>
      </w:smartTag>
      <w:r w:rsidR="00AB0B51">
        <w:t>. Oxford University Press.</w:t>
      </w:r>
    </w:p>
    <w:p w:rsidR="00D54610" w:rsidRPr="0011164F" w:rsidRDefault="0011164F" w:rsidP="008125AD">
      <w:pPr>
        <w:pStyle w:val="Bibliografa1"/>
      </w:pPr>
      <w:r w:rsidRPr="0011164F">
        <w:t xml:space="preserve">Gunningham, N. and </w:t>
      </w:r>
      <w:r>
        <w:t xml:space="preserve">D. </w:t>
      </w:r>
      <w:r w:rsidRPr="0011164F">
        <w:t xml:space="preserve">Sinclair </w:t>
      </w:r>
      <w:r>
        <w:t>(</w:t>
      </w:r>
      <w:r w:rsidRPr="0011164F">
        <w:t>2002</w:t>
      </w:r>
      <w:r>
        <w:t>)</w:t>
      </w:r>
      <w:r w:rsidRPr="0011164F">
        <w:t xml:space="preserve">. </w:t>
      </w:r>
      <w:r>
        <w:t>“</w:t>
      </w:r>
      <w:r w:rsidRPr="0011164F">
        <w:rPr>
          <w:iCs/>
        </w:rPr>
        <w:t>Leaders and Laggards</w:t>
      </w:r>
      <w:r w:rsidRPr="0011164F">
        <w:t xml:space="preserve">: </w:t>
      </w:r>
      <w:r w:rsidRPr="0011164F">
        <w:rPr>
          <w:iCs/>
        </w:rPr>
        <w:t>Next Generation Environmental Regulation</w:t>
      </w:r>
      <w:r>
        <w:t>”</w:t>
      </w:r>
      <w:r w:rsidRPr="0011164F">
        <w:t xml:space="preserve">, Greenleaf, UK. </w:t>
      </w:r>
      <w:r w:rsidR="00D54610">
        <w:t xml:space="preserve">, </w:t>
      </w:r>
    </w:p>
    <w:p w:rsidR="00776CEC" w:rsidRPr="009836B1" w:rsidRDefault="003E228A" w:rsidP="0059444B">
      <w:pPr>
        <w:pStyle w:val="Bibliografa1"/>
      </w:pPr>
      <w:r w:rsidRPr="008125AD">
        <w:t>Ha</w:t>
      </w:r>
      <w:r w:rsidR="00792889" w:rsidRPr="008125AD">
        <w:t>hn</w:t>
      </w:r>
      <w:r w:rsidRPr="008125AD">
        <w:t xml:space="preserve">, R. </w:t>
      </w:r>
      <w:r w:rsidRPr="00A33C28">
        <w:t>(1989). “Economic Prescript</w:t>
      </w:r>
      <w:r w:rsidRPr="009836B1">
        <w:t xml:space="preserve">ions for Environmental Problems: How the Patient Followed the Doctor’s Orders”. </w:t>
      </w:r>
      <w:r w:rsidRPr="009836B1">
        <w:rPr>
          <w:i/>
        </w:rPr>
        <w:t>Journal of Economic Perspectives</w:t>
      </w:r>
      <w:r w:rsidRPr="009836B1">
        <w:t xml:space="preserve">, 3 (2) </w:t>
      </w:r>
      <w:r w:rsidR="00776CEC" w:rsidRPr="009836B1">
        <w:t>95 – 114.</w:t>
      </w:r>
    </w:p>
    <w:p w:rsidR="00E87D18" w:rsidRPr="00CD3263" w:rsidRDefault="00E87D18" w:rsidP="0059444B">
      <w:pPr>
        <w:pStyle w:val="Bibliografa1"/>
      </w:pPr>
      <w:r w:rsidRPr="00E87D18">
        <w:t xml:space="preserve">Hahn, R. (2009). “Greenhouse Gas Auctions and </w:t>
      </w:r>
      <w:r>
        <w:t>Taxes: Some Political Economy Considerations”</w:t>
      </w:r>
      <w:r w:rsidR="00CD3263">
        <w:t xml:space="preserve">, </w:t>
      </w:r>
      <w:r w:rsidR="00CD3263">
        <w:rPr>
          <w:i/>
        </w:rPr>
        <w:t>Review of Environmental Economics and Policy</w:t>
      </w:r>
      <w:r w:rsidR="00CD3263">
        <w:t>, 3 (2) 167 – 188.</w:t>
      </w:r>
    </w:p>
    <w:p w:rsidR="00E44E79" w:rsidRDefault="006503DC" w:rsidP="00E44E79">
      <w:pPr>
        <w:pStyle w:val="Bibliografa1"/>
      </w:pPr>
      <w:r>
        <w:t xml:space="preserve">Hahn, R.W. and R. N. Stavins. (1991). Incentive-Based Environmental Regulation: A New Era from an Old Idea?” </w:t>
      </w:r>
      <w:r>
        <w:rPr>
          <w:i/>
        </w:rPr>
        <w:t xml:space="preserve">Ecology Law Quarterly, 18, </w:t>
      </w:r>
      <w:r>
        <w:t>1 – 42.</w:t>
      </w:r>
    </w:p>
    <w:p w:rsidR="00C1526C" w:rsidRPr="004C391E" w:rsidRDefault="00C1526C" w:rsidP="00E44E79">
      <w:pPr>
        <w:pStyle w:val="Bibliografa1"/>
      </w:pPr>
      <w:r w:rsidRPr="004C391E">
        <w:t>Hanley</w:t>
      </w:r>
      <w:r>
        <w:t xml:space="preserve">, N., </w:t>
      </w:r>
      <w:r w:rsidRPr="004C391E">
        <w:t xml:space="preserve">J. F. Shogren </w:t>
      </w:r>
      <w:r>
        <w:t>and</w:t>
      </w:r>
      <w:r w:rsidRPr="004C391E">
        <w:t xml:space="preserve"> B. White</w:t>
      </w:r>
      <w:r>
        <w:t xml:space="preserve">. (1997). </w:t>
      </w:r>
      <w:r w:rsidRPr="004C391E">
        <w:t>“Environmental Ec</w:t>
      </w:r>
      <w:r w:rsidR="00E44E79">
        <w:t>onomics in Theory and Practice”.</w:t>
      </w:r>
      <w:r w:rsidRPr="004C391E">
        <w:t xml:space="preserve"> Oxford University Press.</w:t>
      </w:r>
    </w:p>
    <w:p w:rsidR="002D52A3" w:rsidRDefault="002D52A3" w:rsidP="0059444B">
      <w:pPr>
        <w:pStyle w:val="Bibliografa1"/>
      </w:pPr>
      <w:r w:rsidRPr="004047F2">
        <w:t>Harrington</w:t>
      </w:r>
      <w:r>
        <w:t>,</w:t>
      </w:r>
      <w:r w:rsidRPr="004047F2">
        <w:t xml:space="preserve"> W.</w:t>
      </w:r>
      <w:r>
        <w:t xml:space="preserve">, </w:t>
      </w:r>
      <w:r w:rsidRPr="004047F2">
        <w:t>R.D. Morgenstern</w:t>
      </w:r>
      <w:r>
        <w:t xml:space="preserve"> and T. Sterner, eds. (2004). “Choosing Environmental Policy. Comparing Instruments and Outcomes in the United States and Europe”, R</w:t>
      </w:r>
      <w:r w:rsidR="009F5217">
        <w:t>FF Press</w:t>
      </w:r>
      <w:r>
        <w:t>. Washington, DC.</w:t>
      </w:r>
    </w:p>
    <w:p w:rsidR="00FB2827" w:rsidRDefault="00FB2827" w:rsidP="0059444B">
      <w:pPr>
        <w:pStyle w:val="Bibliografa1"/>
      </w:pPr>
      <w:r w:rsidRPr="004047F2">
        <w:t>Harrington</w:t>
      </w:r>
      <w:r>
        <w:t>,</w:t>
      </w:r>
      <w:r w:rsidRPr="004047F2">
        <w:t xml:space="preserve"> W.</w:t>
      </w:r>
      <w:r>
        <w:t xml:space="preserve">, </w:t>
      </w:r>
      <w:r w:rsidRPr="004047F2">
        <w:t>R.D. Morgenstern</w:t>
      </w:r>
      <w:r>
        <w:t xml:space="preserve"> and T. Sterner (2004). </w:t>
      </w:r>
      <w:r w:rsidR="00B5637F">
        <w:t xml:space="preserve">“Overview: Comparing Instruments Choices”, in “Choosing Environmental Policy. Comparing Instruments and Outcomes in the United States and Europe”, </w:t>
      </w:r>
      <w:r w:rsidR="00B5637F" w:rsidRPr="004047F2">
        <w:t>Harrington</w:t>
      </w:r>
      <w:r w:rsidR="00B5637F">
        <w:t>,</w:t>
      </w:r>
      <w:r w:rsidR="00B5637F" w:rsidRPr="004047F2">
        <w:t xml:space="preserve"> W.</w:t>
      </w:r>
      <w:r w:rsidR="00B5637F">
        <w:t xml:space="preserve">, </w:t>
      </w:r>
      <w:r w:rsidR="00B5637F" w:rsidRPr="004047F2">
        <w:t>R.D. Morgenstern</w:t>
      </w:r>
      <w:r w:rsidR="00B5637F">
        <w:t xml:space="preserve"> and T. Sterner, eds. Resources for the Future. Washington, DC.</w:t>
      </w:r>
    </w:p>
    <w:p w:rsidR="00D4115C" w:rsidRDefault="00D4115C" w:rsidP="0059444B">
      <w:pPr>
        <w:pStyle w:val="Bibliografa1"/>
        <w:rPr>
          <w:lang w:val="en-GB"/>
        </w:rPr>
      </w:pPr>
      <w:r w:rsidRPr="004047F2">
        <w:lastRenderedPageBreak/>
        <w:t>Harrington</w:t>
      </w:r>
      <w:r w:rsidR="008A728A">
        <w:t>,</w:t>
      </w:r>
      <w:r w:rsidRPr="004047F2">
        <w:t xml:space="preserve"> W.</w:t>
      </w:r>
      <w:r w:rsidR="008A728A">
        <w:t xml:space="preserve"> and</w:t>
      </w:r>
      <w:r w:rsidRPr="004047F2">
        <w:t xml:space="preserve"> R.D. Morgenstern</w:t>
      </w:r>
      <w:r>
        <w:t xml:space="preserve"> (2007). “International Experience with Competing Approaches to Environmental Policy: Result from Six Paired Cases”,</w:t>
      </w:r>
      <w:r>
        <w:rPr>
          <w:lang w:val="en-GB"/>
        </w:rPr>
        <w:t xml:space="preserve"> in “Moving to Markets in Environmental Regulation”, Freeman, J. and C. D. Kolstad, eds.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w:t>
      </w:r>
    </w:p>
    <w:p w:rsidR="00CB4EB9" w:rsidRPr="005D72D3" w:rsidRDefault="00CB4EB9" w:rsidP="0059444B">
      <w:pPr>
        <w:pStyle w:val="Bibliografa1"/>
      </w:pPr>
      <w:r>
        <w:rPr>
          <w:lang w:val="en-GB"/>
        </w:rPr>
        <w:t xml:space="preserve">Huber, R., J. Ruitenbeek and R. Seroa da Motta (1998). “Market-based Instruments for Environmental Policy Making in Latin America and the Caribbean. Lessons form Eleven Countries”. </w:t>
      </w:r>
      <w:r w:rsidR="005D72D3">
        <w:rPr>
          <w:i/>
          <w:lang w:val="en-GB"/>
        </w:rPr>
        <w:t xml:space="preserve">World Bank Discussion paper NO. 381. </w:t>
      </w:r>
      <w:r w:rsidR="005D72D3">
        <w:rPr>
          <w:lang w:val="en-GB"/>
        </w:rPr>
        <w:t>World Bank, Washington, D.C.</w:t>
      </w:r>
    </w:p>
    <w:p w:rsidR="006C0C9D" w:rsidRDefault="006C0C9D" w:rsidP="001863EE">
      <w:pPr>
        <w:pStyle w:val="Bibliografa1"/>
        <w:rPr>
          <w:lang w:val="en-GB"/>
        </w:rPr>
      </w:pPr>
      <w:r>
        <w:rPr>
          <w:lang w:val="en-GB"/>
        </w:rPr>
        <w:t xml:space="preserve">Keohane, N. O., R. L. Revesz and R. N. Stavins (1998). “The Choice of Regulatory Instruments in Environmental Policy”. </w:t>
      </w:r>
      <w:r>
        <w:rPr>
          <w:i/>
          <w:iCs/>
          <w:lang w:val="en-GB"/>
        </w:rPr>
        <w:t>Harvard Environmental Law Review</w:t>
      </w:r>
      <w:r>
        <w:rPr>
          <w:lang w:val="en-GB"/>
        </w:rPr>
        <w:t xml:space="preserve">, </w:t>
      </w:r>
      <w:r>
        <w:rPr>
          <w:b/>
          <w:bCs/>
          <w:lang w:val="en-GB"/>
        </w:rPr>
        <w:t>22</w:t>
      </w:r>
      <w:r>
        <w:rPr>
          <w:lang w:val="en-GB"/>
        </w:rPr>
        <w:t xml:space="preserve"> (2), 313-367</w:t>
      </w:r>
    </w:p>
    <w:p w:rsidR="000F5AB4" w:rsidRPr="000F5AB4" w:rsidRDefault="000F5AB4" w:rsidP="000F5AB4">
      <w:pPr>
        <w:pStyle w:val="Bibliografa1"/>
        <w:rPr>
          <w:lang w:val="en-GB"/>
        </w:rPr>
      </w:pPr>
      <w:r w:rsidRPr="000F5AB4">
        <w:rPr>
          <w:lang w:val="en-GB"/>
        </w:rPr>
        <w:t>Lanna, A. (2003) “Water Charges in Brazil: Implementation and Perspectives”</w:t>
      </w:r>
      <w:r>
        <w:rPr>
          <w:lang w:val="en-GB"/>
        </w:rPr>
        <w:t>, Inter-A</w:t>
      </w:r>
      <w:r w:rsidRPr="000F5AB4">
        <w:rPr>
          <w:lang w:val="en-GB"/>
        </w:rPr>
        <w:t>merican Development Bank</w:t>
      </w:r>
      <w:r>
        <w:rPr>
          <w:lang w:val="en-GB"/>
        </w:rPr>
        <w:t>,</w:t>
      </w:r>
      <w:r w:rsidRPr="000F5AB4">
        <w:rPr>
          <w:lang w:val="en-GB"/>
        </w:rPr>
        <w:t xml:space="preserve"> </w:t>
      </w:r>
      <w:r>
        <w:rPr>
          <w:lang w:val="en-GB"/>
        </w:rPr>
        <w:t>(</w:t>
      </w:r>
      <w:r w:rsidRPr="000F5AB4">
        <w:rPr>
          <w:lang w:val="en-GB"/>
        </w:rPr>
        <w:t>http://www.iadb.org/sds/doc/Water_Pricing_and_Pub-Pri_Partnership-6.pdf</w:t>
      </w:r>
      <w:r>
        <w:rPr>
          <w:lang w:val="en-GB"/>
        </w:rPr>
        <w:t>)</w:t>
      </w:r>
    </w:p>
    <w:p w:rsidR="000E1409" w:rsidRDefault="000E1409" w:rsidP="000E1409">
      <w:r>
        <w:t>Malik A.</w:t>
      </w:r>
      <w:r w:rsidRPr="006840DB">
        <w:t xml:space="preserve"> (1992)</w:t>
      </w:r>
      <w:r>
        <w:t>.</w:t>
      </w:r>
      <w:r w:rsidRPr="006840DB">
        <w:t xml:space="preserve"> “Enforcement Costs and the Choice of Policy </w:t>
      </w:r>
      <w:r>
        <w:t>Instruments for</w:t>
      </w:r>
    </w:p>
    <w:p w:rsidR="0038017B" w:rsidRDefault="000E1409" w:rsidP="0038017B">
      <w:pPr>
        <w:ind w:firstLine="720"/>
      </w:pPr>
      <w:r w:rsidRPr="006840DB">
        <w:t>Controlling Pollution”</w:t>
      </w:r>
      <w:r>
        <w:t>.</w:t>
      </w:r>
      <w:r w:rsidRPr="008A164B">
        <w:rPr>
          <w:i/>
        </w:rPr>
        <w:t xml:space="preserve"> </w:t>
      </w:r>
      <w:r w:rsidRPr="009836B1">
        <w:rPr>
          <w:i/>
        </w:rPr>
        <w:t>Economic Inquiry</w:t>
      </w:r>
      <w:r w:rsidRPr="009836B1">
        <w:t xml:space="preserve"> 30, 714-721.</w:t>
      </w:r>
    </w:p>
    <w:p w:rsidR="0038017B" w:rsidRDefault="00454EEC" w:rsidP="0038017B">
      <w:r w:rsidRPr="00454EEC">
        <w:t>Montero, J.P., J. M. S</w:t>
      </w:r>
      <w:r>
        <w:t xml:space="preserve">ánchez and R. Katz. (2002). “A Market_Based </w:t>
      </w:r>
      <w:r w:rsidR="0038017B">
        <w:tab/>
        <w:t>nvironmental</w:t>
      </w:r>
    </w:p>
    <w:p w:rsidR="00454EEC" w:rsidRPr="00201B90" w:rsidRDefault="00454EEC" w:rsidP="0038017B">
      <w:pPr>
        <w:ind w:firstLine="720"/>
      </w:pPr>
      <w:r>
        <w:t>Policy Experiment in Chile”</w:t>
      </w:r>
      <w:r w:rsidR="00201B90">
        <w:t xml:space="preserve">. </w:t>
      </w:r>
      <w:r w:rsidR="00201B90">
        <w:rPr>
          <w:i/>
        </w:rPr>
        <w:t>Journal of Law and Economics</w:t>
      </w:r>
      <w:r>
        <w:t xml:space="preserve"> </w:t>
      </w:r>
      <w:r w:rsidR="00201B90" w:rsidRPr="00201B90">
        <w:rPr>
          <w:b/>
        </w:rPr>
        <w:t>45</w:t>
      </w:r>
      <w:r w:rsidR="00201B90" w:rsidRPr="00201B90">
        <w:t>,</w:t>
      </w:r>
      <w:r w:rsidR="00201B90">
        <w:rPr>
          <w:b/>
        </w:rPr>
        <w:t xml:space="preserve"> </w:t>
      </w:r>
      <w:r w:rsidR="00201B90" w:rsidRPr="00201B90">
        <w:t>267</w:t>
      </w:r>
      <w:r w:rsidR="00201B90">
        <w:t xml:space="preserve"> – 287.</w:t>
      </w:r>
    </w:p>
    <w:p w:rsidR="003B5BBE" w:rsidRDefault="00380E09" w:rsidP="003B5BBE">
      <w:pPr>
        <w:pStyle w:val="Bibliografa1"/>
      </w:pPr>
      <w:r w:rsidRPr="00091E11">
        <w:rPr>
          <w:lang w:val="es-UY"/>
        </w:rPr>
        <w:t xml:space="preserve">Multiservice – Seinco – Tahal. (2001). “Informe Resumen sobre la Calidad de los Cuerpos de Agua de Montevideo”. </w:t>
      </w:r>
      <w:r w:rsidR="002B40FB" w:rsidRPr="00AE2E75">
        <w:t>Unpublished report</w:t>
      </w:r>
      <w:r w:rsidR="002B40FB" w:rsidRPr="00BC72E5">
        <w:t>.</w:t>
      </w:r>
    </w:p>
    <w:p w:rsidR="003B5BBE" w:rsidRPr="009836B1" w:rsidRDefault="00BC72E5" w:rsidP="003B5BBE">
      <w:pPr>
        <w:pStyle w:val="Bibliografa1"/>
        <w:rPr>
          <w:lang w:val="es-MX"/>
        </w:rPr>
      </w:pPr>
      <w:r w:rsidRPr="00BC72E5">
        <w:t xml:space="preserve">Newell, R.G. and R. </w:t>
      </w:r>
      <w:r w:rsidR="003B5BBE">
        <w:t>N. Stavins (2003). “Cost Heterogeneity and the Potential Savings from Market-Based Policies</w:t>
      </w:r>
      <w:r w:rsidR="00201B90">
        <w:t>”.</w:t>
      </w:r>
      <w:r w:rsidR="003B5BBE">
        <w:t xml:space="preserve"> </w:t>
      </w:r>
      <w:r w:rsidR="003B5BBE" w:rsidRPr="009836B1">
        <w:rPr>
          <w:i/>
          <w:lang w:val="es-MX"/>
        </w:rPr>
        <w:t>Journal of Regulatory Economics</w:t>
      </w:r>
      <w:r w:rsidR="003B5BBE" w:rsidRPr="009836B1">
        <w:rPr>
          <w:lang w:val="es-MX"/>
        </w:rPr>
        <w:t xml:space="preserve"> </w:t>
      </w:r>
      <w:r w:rsidR="003B5BBE" w:rsidRPr="009836B1">
        <w:rPr>
          <w:b/>
          <w:lang w:val="es-MX"/>
        </w:rPr>
        <w:t>23</w:t>
      </w:r>
      <w:r w:rsidR="003B5BBE" w:rsidRPr="009836B1">
        <w:rPr>
          <w:lang w:val="es-MX"/>
        </w:rPr>
        <w:t>:1, 43 – 59.</w:t>
      </w:r>
    </w:p>
    <w:p w:rsidR="008A50A5" w:rsidRDefault="008A50A5" w:rsidP="003B5BBE">
      <w:pPr>
        <w:pStyle w:val="Bibliografa1"/>
        <w:rPr>
          <w:lang w:val="es-MX"/>
        </w:rPr>
      </w:pPr>
      <w:r w:rsidRPr="008A50A5">
        <w:rPr>
          <w:lang w:val="es-MX"/>
        </w:rPr>
        <w:t xml:space="preserve">Palacios, M </w:t>
      </w:r>
      <w:r>
        <w:rPr>
          <w:lang w:val="es-MX"/>
        </w:rPr>
        <w:t>and</w:t>
      </w:r>
      <w:r w:rsidRPr="008A50A5">
        <w:rPr>
          <w:lang w:val="es-MX"/>
        </w:rPr>
        <w:t xml:space="preserve"> C. Chávez. (2002). “Diseño de Fiscalización y Evaluación de Cumplimiento en el programa de Compensación de Emisiones de Santiago”, </w:t>
      </w:r>
      <w:r w:rsidRPr="008A50A5">
        <w:rPr>
          <w:i/>
          <w:lang w:val="es-MX"/>
        </w:rPr>
        <w:t>Estudios Públicos</w:t>
      </w:r>
      <w:r w:rsidRPr="008A50A5">
        <w:rPr>
          <w:lang w:val="es-MX"/>
        </w:rPr>
        <w:t xml:space="preserve"> 88, 1 – 30.</w:t>
      </w:r>
    </w:p>
    <w:p w:rsidR="00451752" w:rsidRPr="00451752" w:rsidRDefault="00451752" w:rsidP="003B5BBE">
      <w:pPr>
        <w:pStyle w:val="Bibliografa1"/>
      </w:pPr>
      <w:r w:rsidRPr="00C24F75">
        <w:rPr>
          <w:lang w:val="es-MX"/>
        </w:rPr>
        <w:t>Palacios, M</w:t>
      </w:r>
      <w:r w:rsidR="008A50A5">
        <w:rPr>
          <w:lang w:val="es-MX"/>
        </w:rPr>
        <w:t>. and</w:t>
      </w:r>
      <w:r w:rsidRPr="00C24F75">
        <w:rPr>
          <w:lang w:val="es-MX"/>
        </w:rPr>
        <w:t xml:space="preserve"> C</w:t>
      </w:r>
      <w:r w:rsidR="008A50A5">
        <w:rPr>
          <w:lang w:val="es-MX"/>
        </w:rPr>
        <w:t>.</w:t>
      </w:r>
      <w:r w:rsidRPr="00C24F75">
        <w:rPr>
          <w:lang w:val="es-MX"/>
        </w:rPr>
        <w:t xml:space="preserve"> Chávez.  </w:t>
      </w:r>
      <w:r w:rsidRPr="00BC72E5">
        <w:t>(2005). “Determinants of Compliance in the</w:t>
      </w:r>
      <w:r w:rsidR="003B5BBE">
        <w:t xml:space="preserve"> </w:t>
      </w:r>
      <w:r w:rsidRPr="00BC72E5">
        <w:t xml:space="preserve">Emissions Compensation Program in </w:t>
      </w:r>
      <w:smartTag w:uri="urn:schemas-microsoft-com:office:smarttags" w:element="City">
        <w:r w:rsidRPr="00BC72E5">
          <w:t>Santiago</w:t>
        </w:r>
      </w:smartTag>
      <w:r w:rsidRPr="00BC72E5">
        <w:t>, Ch</w:t>
      </w:r>
      <w:r w:rsidRPr="00451752">
        <w:t xml:space="preserve">ile”, </w:t>
      </w:r>
      <w:r w:rsidRPr="003B5BBE">
        <w:rPr>
          <w:i/>
        </w:rPr>
        <w:t>Environment and</w:t>
      </w:r>
      <w:r w:rsidR="003B5BBE" w:rsidRPr="003B5BBE">
        <w:rPr>
          <w:i/>
        </w:rPr>
        <w:t xml:space="preserve"> </w:t>
      </w:r>
      <w:r w:rsidRPr="003B5BBE">
        <w:rPr>
          <w:i/>
        </w:rPr>
        <w:t>Development Economics</w:t>
      </w:r>
      <w:r w:rsidRPr="00451752">
        <w:t>, 10</w:t>
      </w:r>
      <w:r>
        <w:t xml:space="preserve"> </w:t>
      </w:r>
      <w:r w:rsidRPr="00451752">
        <w:t>(4)</w:t>
      </w:r>
      <w:r>
        <w:t>,</w:t>
      </w:r>
      <w:r w:rsidRPr="00451752">
        <w:t xml:space="preserve"> 453-483.</w:t>
      </w:r>
    </w:p>
    <w:p w:rsidR="00DB7C57" w:rsidRPr="009836B1" w:rsidRDefault="00DB7C57" w:rsidP="00DB7C57">
      <w:pPr>
        <w:pStyle w:val="Bibliografa1"/>
        <w:rPr>
          <w:lang w:val="es-MX"/>
        </w:rPr>
      </w:pPr>
      <w:r>
        <w:rPr>
          <w:lang w:val="en-GB"/>
        </w:rPr>
        <w:t xml:space="preserve">O’Connor, D. (1998). “Applying economic instruments in developing countries: from theory to implementation”. </w:t>
      </w:r>
      <w:r w:rsidRPr="009836B1">
        <w:rPr>
          <w:i/>
          <w:iCs/>
          <w:lang w:val="es-MX"/>
        </w:rPr>
        <w:t>Environment and Development Economics</w:t>
      </w:r>
      <w:r w:rsidRPr="009836B1">
        <w:rPr>
          <w:lang w:val="es-MX"/>
        </w:rPr>
        <w:t>,</w:t>
      </w:r>
      <w:r w:rsidRPr="009836B1">
        <w:rPr>
          <w:i/>
          <w:iCs/>
          <w:lang w:val="es-MX"/>
        </w:rPr>
        <w:t xml:space="preserve"> </w:t>
      </w:r>
      <w:r w:rsidRPr="009836B1">
        <w:rPr>
          <w:b/>
          <w:bCs/>
          <w:lang w:val="es-MX"/>
        </w:rPr>
        <w:t>4</w:t>
      </w:r>
      <w:r w:rsidRPr="009836B1">
        <w:rPr>
          <w:lang w:val="es-MX"/>
        </w:rPr>
        <w:t>,</w:t>
      </w:r>
      <w:r w:rsidRPr="009836B1">
        <w:rPr>
          <w:b/>
          <w:bCs/>
          <w:lang w:val="es-MX"/>
        </w:rPr>
        <w:t xml:space="preserve"> </w:t>
      </w:r>
      <w:r w:rsidRPr="009836B1">
        <w:rPr>
          <w:lang w:val="es-MX"/>
        </w:rPr>
        <w:t>91 – 100.</w:t>
      </w:r>
    </w:p>
    <w:p w:rsidR="00066C3D" w:rsidRPr="00066C3D" w:rsidRDefault="00066C3D" w:rsidP="00066C3D">
      <w:pPr>
        <w:pStyle w:val="Bibliografa1"/>
        <w:rPr>
          <w:lang w:val="en-GB"/>
        </w:rPr>
      </w:pPr>
      <w:r w:rsidRPr="00066C3D">
        <w:rPr>
          <w:lang w:val="en-GB"/>
        </w:rPr>
        <w:t>O’Ryan, R. (2002). “Emissions Trading in Santiago: Why has it not worked, but been successful? Workshop on the Design and Integration of National Tradable Permit Schemes for Environmental</w:t>
      </w:r>
      <w:r>
        <w:rPr>
          <w:lang w:val="en-GB"/>
        </w:rPr>
        <w:t xml:space="preserve"> </w:t>
      </w:r>
      <w:r w:rsidRPr="00066C3D">
        <w:rPr>
          <w:lang w:val="en-GB"/>
        </w:rPr>
        <w:t>Protection. March 25 – 26. University College, London.</w:t>
      </w:r>
    </w:p>
    <w:p w:rsidR="00602D60" w:rsidRDefault="00602D60" w:rsidP="00066C3D">
      <w:pPr>
        <w:pStyle w:val="Bibliografa1"/>
        <w:rPr>
          <w:lang w:val="es-UY"/>
        </w:rPr>
      </w:pPr>
      <w:r w:rsidRPr="00066C3D">
        <w:t xml:space="preserve">Ortega Ponce, L. (2006). </w:t>
      </w:r>
      <w:r>
        <w:rPr>
          <w:lang w:val="es-UY"/>
        </w:rPr>
        <w:t xml:space="preserve">Notas a la presentación “Instrumentos económicos en la gestión del agua en Costa Rica”, IV Foro Mundial del Agua. México. </w:t>
      </w:r>
    </w:p>
    <w:p w:rsidR="00510CAB" w:rsidRPr="00510CAB" w:rsidRDefault="00510CAB" w:rsidP="00DB7C57">
      <w:pPr>
        <w:pStyle w:val="Bibliografa1"/>
        <w:rPr>
          <w:lang w:val="es-UY"/>
        </w:rPr>
      </w:pPr>
      <w:r w:rsidRPr="00510CAB">
        <w:rPr>
          <w:lang w:val="es-UY"/>
        </w:rPr>
        <w:t>Peña, M. (2008). Gestión Integrada del recurso H</w:t>
      </w:r>
      <w:r>
        <w:rPr>
          <w:lang w:val="es-UY"/>
        </w:rPr>
        <w:t xml:space="preserve">ídrico en la Legislación Costarricense. Editorial Investigaciones Jurídicas S.A. San José. </w:t>
      </w:r>
    </w:p>
    <w:p w:rsidR="00681D68" w:rsidRPr="00681D68" w:rsidRDefault="00681D68" w:rsidP="00DB7C57">
      <w:pPr>
        <w:pStyle w:val="Bibliografa1"/>
        <w:rPr>
          <w:lang w:val="es-MX"/>
        </w:rPr>
      </w:pPr>
      <w:r w:rsidRPr="00681D68">
        <w:rPr>
          <w:lang w:val="es-MX"/>
        </w:rPr>
        <w:t>República Oriental del Uruguay (1996). Diario de Sesiones de la C</w:t>
      </w:r>
      <w:r>
        <w:rPr>
          <w:lang w:val="es-MX"/>
        </w:rPr>
        <w:t xml:space="preserve">ámara de Diputados. </w:t>
      </w:r>
    </w:p>
    <w:p w:rsidR="00CE1E8B" w:rsidRDefault="00CE1E8B" w:rsidP="001863EE">
      <w:pPr>
        <w:pStyle w:val="Bibliografa1"/>
        <w:rPr>
          <w:lang w:val="en-GB"/>
        </w:rPr>
      </w:pPr>
      <w:r>
        <w:rPr>
          <w:lang w:val="en-GB"/>
        </w:rPr>
        <w:t>Russell, C. S. and P. T. Powell</w:t>
      </w:r>
      <w:r w:rsidR="001863EE">
        <w:rPr>
          <w:lang w:val="en-GB"/>
        </w:rPr>
        <w:t>.</w:t>
      </w:r>
      <w:r>
        <w:rPr>
          <w:lang w:val="en-GB"/>
        </w:rPr>
        <w:t xml:space="preserve"> (</w:t>
      </w:r>
      <w:r w:rsidR="001863EE">
        <w:rPr>
          <w:lang w:val="en-GB"/>
        </w:rPr>
        <w:t xml:space="preserve">1996). </w:t>
      </w:r>
      <w:r>
        <w:rPr>
          <w:lang w:val="en-GB"/>
        </w:rPr>
        <w:t>“Choosing Environmental Policy Tools, Theoretical Cautions and Practical Considerations”, IADB</w:t>
      </w:r>
      <w:r w:rsidR="001863EE">
        <w:rPr>
          <w:lang w:val="en-GB"/>
        </w:rPr>
        <w:t xml:space="preserve"> No. ENV-102</w:t>
      </w:r>
      <w:r>
        <w:rPr>
          <w:lang w:val="en-GB"/>
        </w:rPr>
        <w:t>, Washington D.C.</w:t>
      </w:r>
    </w:p>
    <w:p w:rsidR="006F248C" w:rsidRPr="00CE1E8B" w:rsidRDefault="006F248C" w:rsidP="001863EE">
      <w:pPr>
        <w:pStyle w:val="Bibliografa1"/>
        <w:rPr>
          <w:lang w:val="en-GB"/>
        </w:rPr>
      </w:pPr>
      <w:r>
        <w:rPr>
          <w:lang w:val="en-GB"/>
        </w:rPr>
        <w:lastRenderedPageBreak/>
        <w:t>Russell, C.S. and J.W. Vaughan (200</w:t>
      </w:r>
      <w:r w:rsidR="003C072C">
        <w:rPr>
          <w:lang w:val="en-GB"/>
        </w:rPr>
        <w:t>4</w:t>
      </w:r>
      <w:r>
        <w:rPr>
          <w:lang w:val="en-GB"/>
        </w:rPr>
        <w:t>), “The Choice of Pollution Control Policy Instruments in Developing Countries: Arguments, Evidence and Suggestions”, in H. Folmer and T. Tietenberg, The International Yearbook of Environment and Resource Economics 2003/2004, Cheltenham, UK and Northampton, Ma., USA; Edward Elgar, pp. 331 – 70.</w:t>
      </w:r>
    </w:p>
    <w:p w:rsidR="004D2093" w:rsidRPr="00767FDC" w:rsidRDefault="004D2093" w:rsidP="0059444B">
      <w:pPr>
        <w:pStyle w:val="Bibliografa1"/>
        <w:rPr>
          <w:lang w:val="es-UY"/>
        </w:rPr>
      </w:pPr>
      <w:r>
        <w:rPr>
          <w:lang w:val="en-GB"/>
        </w:rPr>
        <w:t xml:space="preserve">Seroa da Motta, R., R. M. Huber and H. J. Ruitenbeek. (1999). “Market based instruments for environmental policy making in Latin America and the </w:t>
      </w:r>
      <w:smartTag w:uri="urn:schemas-microsoft-com:office:smarttags" w:element="place">
        <w:r>
          <w:rPr>
            <w:lang w:val="en-GB"/>
          </w:rPr>
          <w:t>Caribbean</w:t>
        </w:r>
      </w:smartTag>
      <w:r>
        <w:rPr>
          <w:lang w:val="en-GB"/>
        </w:rPr>
        <w:t xml:space="preserve">: lessons from eleven countries”. </w:t>
      </w:r>
      <w:r w:rsidRPr="00767FDC">
        <w:rPr>
          <w:i/>
          <w:lang w:val="es-UY"/>
        </w:rPr>
        <w:t xml:space="preserve">Environment and Development Economics, </w:t>
      </w:r>
      <w:r w:rsidRPr="00767FDC">
        <w:rPr>
          <w:lang w:val="es-UY"/>
        </w:rPr>
        <w:t>4; 177-201.</w:t>
      </w:r>
    </w:p>
    <w:p w:rsidR="0055463E" w:rsidRDefault="0055463E" w:rsidP="00087037">
      <w:pPr>
        <w:pStyle w:val="Bibliografa1"/>
        <w:rPr>
          <w:lang w:val="es-UY"/>
        </w:rPr>
      </w:pPr>
      <w:r w:rsidRPr="0055463E">
        <w:rPr>
          <w:lang w:val="es-UY"/>
        </w:rPr>
        <w:t>Sistema de la Integración Centroamericana</w:t>
      </w:r>
      <w:r>
        <w:rPr>
          <w:lang w:val="es-UY"/>
        </w:rPr>
        <w:t xml:space="preserve"> (</w:t>
      </w:r>
      <w:r w:rsidRPr="0055463E">
        <w:rPr>
          <w:lang w:val="es-UY"/>
        </w:rPr>
        <w:t>2009</w:t>
      </w:r>
      <w:r>
        <w:rPr>
          <w:lang w:val="es-UY"/>
        </w:rPr>
        <w:t xml:space="preserve">). </w:t>
      </w:r>
      <w:hyperlink r:id="rId8" w:history="1">
        <w:r w:rsidR="006C16B8" w:rsidRPr="00A33527">
          <w:rPr>
            <w:rStyle w:val="Hipervnculo"/>
            <w:lang w:val="es-UY"/>
          </w:rPr>
          <w:t>http://www.sica.int/cdoc/publicaciones/transform/catalogo/pdf-sp/IV/17/17a%20.pdf</w:t>
        </w:r>
      </w:hyperlink>
    </w:p>
    <w:p w:rsidR="00087037" w:rsidRDefault="00087037" w:rsidP="00087037">
      <w:pPr>
        <w:pStyle w:val="Bibliografa1"/>
        <w:rPr>
          <w:lang w:val="en-GB"/>
        </w:rPr>
      </w:pPr>
      <w:r w:rsidRPr="00767FDC">
        <w:t xml:space="preserve">Stavins, R. (2007). </w:t>
      </w:r>
      <w:r>
        <w:rPr>
          <w:lang w:val="en-GB"/>
        </w:rPr>
        <w:t xml:space="preserve">“Market-Based Environmental Policies: What Can We Learn from the U. S. Experience (and Related Research), in “Moving to Markets in Environmental Regulation”, Freeman, J. and C. D. Kolstad, eds.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w:t>
      </w:r>
    </w:p>
    <w:p w:rsidR="002532E3" w:rsidRDefault="002532E3" w:rsidP="00087037">
      <w:pPr>
        <w:pStyle w:val="Bibliografa1"/>
        <w:rPr>
          <w:lang w:val="en-GB"/>
        </w:rPr>
      </w:pPr>
      <w:r>
        <w:rPr>
          <w:lang w:val="en-GB"/>
        </w:rPr>
        <w:t>Sterner, T. (2003). Policy Instruments for Environmental and Natural Resources Management. RFF Press. Washington, DC.</w:t>
      </w:r>
    </w:p>
    <w:p w:rsidR="004428A1" w:rsidRPr="00091E11" w:rsidRDefault="004428A1" w:rsidP="00087037">
      <w:pPr>
        <w:pStyle w:val="Bibliografa1"/>
        <w:rPr>
          <w:lang w:val="es-UY"/>
        </w:rPr>
      </w:pPr>
      <w:r>
        <w:rPr>
          <w:lang w:val="en-GB"/>
        </w:rPr>
        <w:t xml:space="preserve">Uribe, E. (2004). </w:t>
      </w:r>
      <w:r w:rsidR="00DE4DE2">
        <w:rPr>
          <w:lang w:val="en-GB"/>
        </w:rPr>
        <w:t xml:space="preserve">“The Evolution of Colombian Environmental Institutions: 1971 - 2004”. </w:t>
      </w:r>
      <w:r w:rsidR="00DE4DE2" w:rsidRPr="00091E11">
        <w:rPr>
          <w:lang w:val="es-UY"/>
        </w:rPr>
        <w:t xml:space="preserve">CEDE – Universidad de los Andes. </w:t>
      </w:r>
    </w:p>
    <w:p w:rsidR="0046764D" w:rsidRDefault="0046764D" w:rsidP="00087037">
      <w:pPr>
        <w:pStyle w:val="Bibliografa1"/>
        <w:rPr>
          <w:lang w:val="en-GB"/>
        </w:rPr>
      </w:pPr>
      <w:r w:rsidRPr="00091E11">
        <w:rPr>
          <w:lang w:val="es-UY"/>
        </w:rPr>
        <w:t xml:space="preserve">U.S.E.P.A. (2006). </w:t>
      </w:r>
      <w:r>
        <w:rPr>
          <w:lang w:val="en-GB"/>
        </w:rPr>
        <w:t>“Acid Rain and Related Programs. 2006 Progress Reports. (</w:t>
      </w:r>
      <w:r w:rsidRPr="0046764D">
        <w:rPr>
          <w:lang w:val="en-GB"/>
        </w:rPr>
        <w:t>http://www.epa.gov/airmarkets/progress/docs/2006-ARP-Report.pdf</w:t>
      </w:r>
      <w:r>
        <w:rPr>
          <w:lang w:val="en-GB"/>
        </w:rPr>
        <w:t>)</w:t>
      </w:r>
    </w:p>
    <w:p w:rsidR="003F25B7" w:rsidRDefault="00104598" w:rsidP="00BE3FAE">
      <w:pPr>
        <w:pStyle w:val="Bibliografa1"/>
        <w:rPr>
          <w:lang w:val="en-GB"/>
        </w:rPr>
      </w:pPr>
      <w:r w:rsidRPr="002B1654">
        <w:rPr>
          <w:lang w:val="en-GB"/>
        </w:rPr>
        <w:t>Weitzman, M.</w:t>
      </w:r>
      <w:r>
        <w:rPr>
          <w:lang w:val="en-GB"/>
        </w:rPr>
        <w:t xml:space="preserve"> (1974)</w:t>
      </w:r>
      <w:r w:rsidRPr="002B1654">
        <w:rPr>
          <w:lang w:val="en-GB"/>
        </w:rPr>
        <w:t xml:space="preserve"> “Prices vs. Quantities”, </w:t>
      </w:r>
      <w:r w:rsidRPr="007D1925">
        <w:rPr>
          <w:i/>
          <w:lang w:val="en-GB"/>
        </w:rPr>
        <w:t>Review</w:t>
      </w:r>
      <w:r w:rsidRPr="002B1654">
        <w:rPr>
          <w:i/>
          <w:lang w:val="en-GB"/>
        </w:rPr>
        <w:t xml:space="preserve"> of Economic Studies, </w:t>
      </w:r>
      <w:r w:rsidRPr="002B1654">
        <w:rPr>
          <w:b/>
          <w:lang w:val="en-GB"/>
        </w:rPr>
        <w:t>XLI</w:t>
      </w:r>
      <w:r w:rsidRPr="002B1654">
        <w:rPr>
          <w:lang w:val="en-GB"/>
        </w:rPr>
        <w:t>, October, 477-91</w:t>
      </w:r>
      <w:r>
        <w:rPr>
          <w:lang w:val="en-GB"/>
        </w:rPr>
        <w:t>.</w:t>
      </w:r>
    </w:p>
    <w:p w:rsidR="003F25B7" w:rsidRPr="003F25B7" w:rsidRDefault="003F25B7" w:rsidP="0059444B">
      <w:pPr>
        <w:pStyle w:val="Bibliografa1"/>
        <w:rPr>
          <w:lang w:val="en-GB"/>
        </w:rPr>
      </w:pPr>
    </w:p>
    <w:sectPr w:rsidR="003F25B7" w:rsidRPr="003F25B7" w:rsidSect="00701938">
      <w:footerReference w:type="even" r:id="rId9"/>
      <w:footerReference w:type="default" r:id="rId10"/>
      <w:pgSz w:w="12242" w:h="15842" w:code="1"/>
      <w:pgMar w:top="1440" w:right="1440" w:bottom="1440" w:left="21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36" w:rsidRDefault="00284136">
      <w:r>
        <w:separator/>
      </w:r>
    </w:p>
  </w:endnote>
  <w:endnote w:type="continuationSeparator" w:id="0">
    <w:p w:rsidR="00284136" w:rsidRDefault="0028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9C" w:rsidRDefault="00C1319C" w:rsidP="000258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319C" w:rsidRDefault="00C1319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19C" w:rsidRDefault="00C1319C" w:rsidP="000258D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2FDD">
      <w:rPr>
        <w:rStyle w:val="Nmerodepgina"/>
        <w:noProof/>
      </w:rPr>
      <w:t>32</w:t>
    </w:r>
    <w:r>
      <w:rPr>
        <w:rStyle w:val="Nmerodepgina"/>
      </w:rPr>
      <w:fldChar w:fldCharType="end"/>
    </w:r>
  </w:p>
  <w:p w:rsidR="00C1319C" w:rsidRDefault="00C1319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36" w:rsidRDefault="00284136">
      <w:r>
        <w:separator/>
      </w:r>
    </w:p>
  </w:footnote>
  <w:footnote w:type="continuationSeparator" w:id="0">
    <w:p w:rsidR="00284136" w:rsidRDefault="00284136">
      <w:r>
        <w:continuationSeparator/>
      </w:r>
    </w:p>
  </w:footnote>
  <w:footnote w:id="1">
    <w:p w:rsidR="00C1319C" w:rsidRPr="00AE6127" w:rsidRDefault="00C1319C">
      <w:pPr>
        <w:pStyle w:val="Textonotapie"/>
      </w:pPr>
      <w:r>
        <w:rPr>
          <w:rStyle w:val="Refdenotaalpie"/>
        </w:rPr>
        <w:footnoteRef/>
      </w:r>
      <w:r>
        <w:t xml:space="preserve"> </w:t>
      </w:r>
      <w:r w:rsidRPr="00AE6127">
        <w:t>I would like to thank Lesley Mc Allister, Benjamin van Rooij, John Stranlund, Hernán Méndez , Marcelo J. Cousillas, Carlos Amorín Cáceres and</w:t>
      </w:r>
      <w:r>
        <w:t xml:space="preserve"> </w:t>
      </w:r>
      <w:r w:rsidRPr="00AE6127">
        <w:t xml:space="preserve">Viviana Rocco for their help, comments and advice at different steps of this </w:t>
      </w:r>
      <w:r w:rsidR="00E01740">
        <w:t>work</w:t>
      </w:r>
      <w:r w:rsidRPr="00AE6127">
        <w:t>.</w:t>
      </w:r>
    </w:p>
  </w:footnote>
  <w:footnote w:id="2">
    <w:p w:rsidR="00C1319C" w:rsidRPr="00002C05" w:rsidRDefault="00C1319C" w:rsidP="00002C05">
      <w:pPr>
        <w:pStyle w:val="Textonotapie"/>
      </w:pPr>
      <w:r w:rsidRPr="001C0906">
        <w:rPr>
          <w:rStyle w:val="Refdenotaalpie"/>
        </w:rPr>
        <w:sym w:font="Symbol" w:char="F078"/>
      </w:r>
      <w:r w:rsidRPr="001C0906">
        <w:rPr>
          <w:lang w:val="es-ES"/>
        </w:rPr>
        <w:t xml:space="preserve"> </w:t>
      </w:r>
      <w:r w:rsidRPr="00696E17">
        <w:rPr>
          <w:i/>
          <w:lang w:val="es-MX"/>
        </w:rPr>
        <w:t>Correspondence</w:t>
      </w:r>
      <w:r w:rsidRPr="00393B11">
        <w:rPr>
          <w:i/>
          <w:lang w:val="es-ES"/>
        </w:rPr>
        <w:t xml:space="preserve"> </w:t>
      </w:r>
      <w:r w:rsidRPr="00696E17">
        <w:rPr>
          <w:i/>
          <w:lang w:val="es-MX"/>
        </w:rPr>
        <w:t>address</w:t>
      </w:r>
      <w:r w:rsidRPr="00FB2543">
        <w:rPr>
          <w:lang w:val="es-ES"/>
        </w:rPr>
        <w:t xml:space="preserve">: </w:t>
      </w:r>
      <w:r>
        <w:rPr>
          <w:lang w:val="es-ES"/>
        </w:rPr>
        <w:t xml:space="preserve">Departamento de Economía. Universidad de Montevideo. </w:t>
      </w:r>
      <w:r w:rsidRPr="00FB2543">
        <w:rPr>
          <w:lang w:val="es-ES"/>
        </w:rPr>
        <w:t>Prudencio de Pena 2440</w:t>
      </w:r>
      <w:r>
        <w:rPr>
          <w:lang w:val="es-ES"/>
        </w:rPr>
        <w:t xml:space="preserve">, CP 11600, Montevideo, Uruguay. </w:t>
      </w:r>
      <w:r w:rsidRPr="00B52543">
        <w:t xml:space="preserve">E-mail: </w:t>
      </w:r>
      <w:hyperlink r:id="rId1" w:history="1">
        <w:r w:rsidRPr="00B52543">
          <w:rPr>
            <w:rStyle w:val="Hipervnculo"/>
          </w:rPr>
          <w:t>marcaffera@um.edu.uy</w:t>
        </w:r>
      </w:hyperlink>
      <w:r>
        <w:t xml:space="preserve">. Phone: +598 2 7074461. </w:t>
      </w:r>
      <w:r w:rsidRPr="00002C05">
        <w:t>Fax: 598 2 7083842,</w:t>
      </w:r>
    </w:p>
  </w:footnote>
  <w:footnote w:id="3">
    <w:p w:rsidR="00C1319C" w:rsidRPr="00B9795A" w:rsidRDefault="00C1319C" w:rsidP="001A734D">
      <w:pPr>
        <w:pStyle w:val="Textonotapie"/>
      </w:pPr>
      <w:r>
        <w:rPr>
          <w:rStyle w:val="Refdenotaalpie"/>
        </w:rPr>
        <w:footnoteRef/>
      </w:r>
      <w:r>
        <w:t xml:space="preserve"> I use the term “economic instruments” to refer to emissions taxes and “cap and trade” schemes, and the term “prescriptive regulation” (Ellerman, </w:t>
      </w:r>
      <w:r w:rsidRPr="005112B0">
        <w:t>2007)</w:t>
      </w:r>
      <w:r>
        <w:t xml:space="preserve"> to refer to the type of regulation that tells the plants how to abate emissions and by how </w:t>
      </w:r>
      <w:r w:rsidRPr="00B9795A">
        <w:t xml:space="preserve">much. This is the case, for example, of technology-based emissions standards. </w:t>
      </w:r>
      <w:r>
        <w:t>I do not deal in this paper with “indirect” instruments to control pollution (i.e.: those not regulating the end-of-pipe level of emissions directly, but other indirect determinant of the level of pollution, such as the abatement the abatement or production technique).</w:t>
      </w:r>
    </w:p>
  </w:footnote>
  <w:footnote w:id="4">
    <w:p w:rsidR="00C1319C" w:rsidRPr="000E7B8F" w:rsidRDefault="00C1319C">
      <w:pPr>
        <w:pStyle w:val="Textonotapie"/>
      </w:pPr>
      <w:r>
        <w:rPr>
          <w:rStyle w:val="Refdenotaalpie"/>
        </w:rPr>
        <w:footnoteRef/>
      </w:r>
      <w:r>
        <w:t xml:space="preserve"> Such an exercise leads inevitably to an analysis of the circumstances under which these arguments are valid, and to the review of other dimensions according to which environmental policy instruments can be judged. These are, not surprisingly, closely connected to the explanations </w:t>
      </w:r>
      <w:r w:rsidRPr="00324A7F">
        <w:t>that</w:t>
      </w:r>
      <w:r>
        <w:t xml:space="preserve"> </w:t>
      </w:r>
      <w:r w:rsidRPr="00324A7F">
        <w:t xml:space="preserve">economists have </w:t>
      </w:r>
      <w:r>
        <w:t xml:space="preserve">given </w:t>
      </w:r>
      <w:r w:rsidRPr="00324A7F">
        <w:t xml:space="preserve">to </w:t>
      </w:r>
      <w:r>
        <w:t xml:space="preserve">explain </w:t>
      </w:r>
      <w:r w:rsidRPr="00324A7F">
        <w:t>th</w:t>
      </w:r>
      <w:r>
        <w:t xml:space="preserve">e choice of prescriptive regulations instead of economic instruments. But I postpone this discussion to Section 4. </w:t>
      </w:r>
    </w:p>
  </w:footnote>
  <w:footnote w:id="5">
    <w:p w:rsidR="00C1319C" w:rsidRPr="006D378E" w:rsidRDefault="00C1319C" w:rsidP="00E0058D">
      <w:pPr>
        <w:pStyle w:val="Textonotapie"/>
      </w:pPr>
      <w:r>
        <w:rPr>
          <w:rStyle w:val="Refdenotaalpie"/>
        </w:rPr>
        <w:footnoteRef/>
      </w:r>
      <w:r>
        <w:t xml:space="preserve"> Emissions taxes share the same disadvantage as prescriptive regulation on this metric. There is no informational advantage between setting emissions standards or emissions taxes (Weitzman, 1974). This is why environmental economists have been advocating tradable permits more firmly recently. These instruments are cost-effective and do not require the regulator to obtain any information from the firms regarding abatement costs, as taxes do.</w:t>
      </w:r>
    </w:p>
  </w:footnote>
  <w:footnote w:id="6">
    <w:p w:rsidR="00C1319C" w:rsidRPr="00905C14" w:rsidRDefault="00C1319C" w:rsidP="002403A1">
      <w:pPr>
        <w:pStyle w:val="Textonotapie"/>
      </w:pPr>
      <w:r>
        <w:rPr>
          <w:rStyle w:val="Refdenotaalpie"/>
        </w:rPr>
        <w:footnoteRef/>
      </w:r>
      <w:r w:rsidRPr="00905C14">
        <w:t xml:space="preserve"> </w:t>
      </w:r>
      <w:r>
        <w:t>This could be the reason why recent conclusions from the experience with economic instruments surprisingly include the provision of “powerful reminders of the importance of monitoring and enforcement” (Stavins, 2007, p. 26).</w:t>
      </w:r>
    </w:p>
  </w:footnote>
  <w:footnote w:id="7">
    <w:p w:rsidR="00C1319C" w:rsidRPr="002141A8" w:rsidRDefault="00C1319C">
      <w:pPr>
        <w:pStyle w:val="Textonotapie"/>
      </w:pPr>
      <w:r>
        <w:rPr>
          <w:rStyle w:val="Refdenotaalpie"/>
        </w:rPr>
        <w:footnoteRef/>
      </w:r>
      <w:r>
        <w:t xml:space="preserve"> The empirical validation of the argument is a difficult task to perform and has given mixed results. Harrington et al. (2004) and Harrington and Morgenstern (2007) report mixed results with respect to cost savings comparing experiences in the US and Europe with both types of instruments. Stavins (2007) reports that the US experience with tradable permits “provides evidence” that cost savings can be achieved with the implementation of this instrument.</w:t>
      </w:r>
    </w:p>
  </w:footnote>
  <w:footnote w:id="8">
    <w:p w:rsidR="00C1319C" w:rsidRPr="00945334" w:rsidRDefault="00C1319C">
      <w:pPr>
        <w:pStyle w:val="Textonotapie"/>
      </w:pPr>
      <w:r>
        <w:rPr>
          <w:rStyle w:val="Refdenotaalpie"/>
        </w:rPr>
        <w:footnoteRef/>
      </w:r>
      <w:r w:rsidRPr="00165187">
        <w:rPr>
          <w:lang w:val="es-MX"/>
        </w:rPr>
        <w:t xml:space="preserve"> J. M. Zeledón, Director de Aguas, Ministerio de Ambiente, Energ</w:t>
      </w:r>
      <w:r>
        <w:rPr>
          <w:lang w:val="es-MX"/>
        </w:rPr>
        <w:t xml:space="preserve">ía y Telecomunicaciónes, </w:t>
      </w:r>
      <w:r w:rsidRPr="00165187">
        <w:rPr>
          <w:lang w:val="es-MX"/>
        </w:rPr>
        <w:t xml:space="preserve">e-mail </w:t>
      </w:r>
      <w:r w:rsidRPr="001C022A">
        <w:rPr>
          <w:lang w:val="es-UY"/>
        </w:rPr>
        <w:t>communication</w:t>
      </w:r>
      <w:r w:rsidRPr="00165187">
        <w:rPr>
          <w:lang w:val="es-MX"/>
        </w:rPr>
        <w:t xml:space="preserve">, </w:t>
      </w:r>
      <w:r>
        <w:rPr>
          <w:lang w:val="es-MX"/>
        </w:rPr>
        <w:t xml:space="preserve">August 25th, 2009. </w:t>
      </w:r>
      <w:r w:rsidRPr="00945334">
        <w:t>M. Peña</w:t>
      </w:r>
      <w:r w:rsidRPr="00F233EB">
        <w:t xml:space="preserve">, Ecolegis Environmental Law Services, e-mail communication, august 12th, 2009. </w:t>
      </w:r>
    </w:p>
  </w:footnote>
  <w:footnote w:id="9">
    <w:p w:rsidR="00C1319C" w:rsidRPr="002942A3" w:rsidRDefault="00C1319C">
      <w:pPr>
        <w:pStyle w:val="Textonotapie"/>
      </w:pPr>
      <w:r>
        <w:rPr>
          <w:rStyle w:val="Refdenotaalpie"/>
        </w:rPr>
        <w:footnoteRef/>
      </w:r>
      <w:r>
        <w:t xml:space="preserve"> What Russell and Powell (1985) called “political impact”. </w:t>
      </w:r>
    </w:p>
  </w:footnote>
  <w:footnote w:id="10">
    <w:p w:rsidR="00C1319C" w:rsidRPr="005870DB" w:rsidRDefault="00C1319C" w:rsidP="00834AF9">
      <w:pPr>
        <w:pStyle w:val="Textonotapie"/>
      </w:pPr>
      <w:r>
        <w:rPr>
          <w:rStyle w:val="Refdenotaalpie"/>
        </w:rPr>
        <w:footnoteRef/>
      </w:r>
      <w:r>
        <w:t xml:space="preserve"> These are not mutually exclusive categories, of course.</w:t>
      </w:r>
    </w:p>
  </w:footnote>
  <w:footnote w:id="11">
    <w:p w:rsidR="00C1319C" w:rsidRPr="002942A3" w:rsidRDefault="00C1319C">
      <w:pPr>
        <w:pStyle w:val="Textonotapie"/>
      </w:pPr>
      <w:r>
        <w:rPr>
          <w:rStyle w:val="Refdenotaalpie"/>
        </w:rPr>
        <w:footnoteRef/>
      </w:r>
      <w:r w:rsidRPr="002942A3">
        <w:t xml:space="preserve"> </w:t>
      </w:r>
      <w:r w:rsidRPr="00754D88">
        <w:rPr>
          <w:bCs/>
        </w:rPr>
        <w:t xml:space="preserve">It has not to be concluded from the above analysis, though, that the choice of policy instruments for environmental protection is a matter of </w:t>
      </w:r>
      <w:r>
        <w:rPr>
          <w:bCs/>
        </w:rPr>
        <w:t>“</w:t>
      </w:r>
      <w:r w:rsidRPr="00754D88">
        <w:rPr>
          <w:bCs/>
        </w:rPr>
        <w:t>either</w:t>
      </w:r>
      <w:r>
        <w:rPr>
          <w:bCs/>
        </w:rPr>
        <w:t xml:space="preserve"> / </w:t>
      </w:r>
      <w:r w:rsidRPr="00754D88">
        <w:rPr>
          <w:bCs/>
        </w:rPr>
        <w:t>or</w:t>
      </w:r>
      <w:r>
        <w:rPr>
          <w:bCs/>
        </w:rPr>
        <w:t>”</w:t>
      </w:r>
      <w:r w:rsidRPr="00754D88">
        <w:rPr>
          <w:bCs/>
        </w:rPr>
        <w:t xml:space="preserve"> with respect to economic instruments versus prescriptive regulation. </w:t>
      </w:r>
      <w:r w:rsidRPr="00754D88">
        <w:t xml:space="preserve">The discussion above makes it obvious that “no policy ranks first among all dimensions of policy comparison” (Cole and Grossman, p. 890, citing Palmer et al., 1980) and consequently the analysis does not ignore that the most effective solution to the pollution problem at hand may imply the use of prescriptive and </w:t>
      </w:r>
      <w:r>
        <w:t>economic</w:t>
      </w:r>
      <w:r w:rsidRPr="00754D88">
        <w:t xml:space="preserve"> instruments at the same time (Gunningham et al, 1998).</w:t>
      </w:r>
    </w:p>
  </w:footnote>
  <w:footnote w:id="12">
    <w:p w:rsidR="00C1319C" w:rsidRPr="006D6AFB" w:rsidRDefault="00C1319C" w:rsidP="00192EAA">
      <w:pPr>
        <w:autoSpaceDE w:val="0"/>
        <w:autoSpaceDN w:val="0"/>
        <w:adjustRightInd w:val="0"/>
        <w:rPr>
          <w:bCs/>
        </w:rPr>
      </w:pPr>
      <w:r>
        <w:rPr>
          <w:rStyle w:val="Refdenotaalpie"/>
        </w:rPr>
        <w:footnoteRef/>
      </w:r>
      <w:r w:rsidRPr="002E4B4E">
        <w:t xml:space="preserve"> </w:t>
      </w:r>
      <w:r>
        <w:t xml:space="preserve">In contrast, </w:t>
      </w:r>
      <w:r w:rsidRPr="006D6AFB">
        <w:rPr>
          <w:bCs/>
        </w:rPr>
        <w:t>“</w:t>
      </w:r>
      <w:r>
        <w:rPr>
          <w:bCs/>
        </w:rPr>
        <w:t>t</w:t>
      </w:r>
      <w:r w:rsidRPr="006D6AFB">
        <w:rPr>
          <w:bCs/>
        </w:rPr>
        <w:t>he U.S. electric power industry accounts for approximately 70 percent of total U.S. SO</w:t>
      </w:r>
      <w:r w:rsidRPr="00421C02">
        <w:rPr>
          <w:bCs/>
          <w:vertAlign w:val="subscript"/>
        </w:rPr>
        <w:t>2</w:t>
      </w:r>
      <w:r w:rsidRPr="006D6AFB">
        <w:rPr>
          <w:bCs/>
        </w:rPr>
        <w:t xml:space="preserve"> emissions and 20 percent of total U.S. NO</w:t>
      </w:r>
      <w:r w:rsidRPr="003E3B71">
        <w:rPr>
          <w:bCs/>
          <w:vertAlign w:val="subscript"/>
        </w:rPr>
        <w:t>X</w:t>
      </w:r>
      <w:r w:rsidRPr="006D6AFB">
        <w:rPr>
          <w:bCs/>
        </w:rPr>
        <w:t xml:space="preserve"> emissions from man-made sources</w:t>
      </w:r>
      <w:r>
        <w:rPr>
          <w:bCs/>
        </w:rPr>
        <w:t xml:space="preserve">” </w:t>
      </w:r>
      <w:r w:rsidRPr="006D6AFB">
        <w:rPr>
          <w:bCs/>
        </w:rPr>
        <w:t>(EPA, 2006</w:t>
      </w:r>
      <w:r>
        <w:rPr>
          <w:bCs/>
        </w:rPr>
        <w:t>, pg</w:t>
      </w:r>
      <w:r w:rsidRPr="006D6AFB">
        <w:rPr>
          <w:bCs/>
        </w:rPr>
        <w:t xml:space="preserve"> 3).</w:t>
      </w:r>
    </w:p>
  </w:footnote>
  <w:footnote w:id="13">
    <w:p w:rsidR="00C1319C" w:rsidRDefault="00C1319C" w:rsidP="00BD64B7">
      <w:pPr>
        <w:pStyle w:val="Textonotapie"/>
        <w:rPr>
          <w:lang w:val="es-ES"/>
        </w:rPr>
      </w:pPr>
      <w:r>
        <w:rPr>
          <w:rStyle w:val="Refdenotaalpie"/>
        </w:rPr>
        <w:footnoteRef/>
      </w:r>
      <w:r w:rsidRPr="00091E11">
        <w:rPr>
          <w:lang w:val="es-UY"/>
        </w:rPr>
        <w:t xml:space="preserve"> Ordenanza sobre la Disposición de Aguas Residuales de los Establecimientos Industriales del Departamento de Montevideo, Decret</w:t>
      </w:r>
      <w:r>
        <w:rPr>
          <w:lang w:val="es-ES"/>
        </w:rPr>
        <w:t>o N° 13.982 de la Junta Departamental de Montevideo, 1967, and Reglamentación de la Ordenanza sobre la Disposición de Aguas Residuales de los Establecimientos Industriales del Departamento de Montevideo, Resolución N° 16.277 del Intendente Municipal de Montevideo, 1968.</w:t>
      </w:r>
    </w:p>
  </w:footnote>
  <w:footnote w:id="14">
    <w:p w:rsidR="00C1319C" w:rsidRPr="00D012F7" w:rsidRDefault="00C1319C" w:rsidP="00BD64B7">
      <w:pPr>
        <w:pStyle w:val="Textonotapie"/>
        <w:rPr>
          <w:lang w:val="es-ES"/>
        </w:rPr>
      </w:pPr>
      <w:r>
        <w:rPr>
          <w:rStyle w:val="Refdenotaalpie"/>
        </w:rPr>
        <w:footnoteRef/>
      </w:r>
      <w:r>
        <w:rPr>
          <w:lang w:val="es-ES"/>
        </w:rPr>
        <w:t xml:space="preserve"> “Decreto 253/79, Normas para prevenir la contaminación ambiental mediante el control de contaminación de aguas, 1979”, </w:t>
      </w:r>
      <w:r w:rsidRPr="00D012F7">
        <w:rPr>
          <w:lang w:val="es-ES"/>
        </w:rPr>
        <w:t>with ame</w:t>
      </w:r>
      <w:r>
        <w:rPr>
          <w:lang w:val="es-ES"/>
        </w:rPr>
        <w:t>ndments in 1988, 1989 and 1991</w:t>
      </w:r>
      <w:r w:rsidRPr="00D012F7">
        <w:rPr>
          <w:lang w:val="es-ES"/>
        </w:rPr>
        <w:t>.</w:t>
      </w:r>
    </w:p>
  </w:footnote>
  <w:footnote w:id="15">
    <w:p w:rsidR="00C1319C" w:rsidRPr="00534A74" w:rsidRDefault="00C1319C">
      <w:pPr>
        <w:pStyle w:val="Textonotapie"/>
      </w:pPr>
      <w:r>
        <w:rPr>
          <w:rStyle w:val="Refdenotaalpie"/>
        </w:rPr>
        <w:footnoteRef/>
      </w:r>
      <w:r>
        <w:t xml:space="preserve"> The following paragraphs are based on Caffera (2004).</w:t>
      </w:r>
    </w:p>
  </w:footnote>
  <w:footnote w:id="16">
    <w:p w:rsidR="00C1319C" w:rsidRDefault="00C1319C" w:rsidP="001331D8">
      <w:pPr>
        <w:pStyle w:val="Textonotapie"/>
        <w:rPr>
          <w:lang w:val="en-GB"/>
        </w:rPr>
      </w:pPr>
      <w:r>
        <w:rPr>
          <w:rStyle w:val="Refdenotaalpie"/>
          <w:sz w:val="20"/>
        </w:rPr>
        <w:footnoteRef/>
      </w:r>
      <w:r>
        <w:t xml:space="preserve"> Some</w:t>
      </w:r>
      <w:r>
        <w:rPr>
          <w:lang w:val="en-GB"/>
        </w:rPr>
        <w:t xml:space="preserve"> plants also report voluntarily to the national government Department of Environmental Control.</w:t>
      </w:r>
    </w:p>
  </w:footnote>
  <w:footnote w:id="17">
    <w:p w:rsidR="00C1319C" w:rsidRPr="001331D8" w:rsidRDefault="00C1319C">
      <w:pPr>
        <w:pStyle w:val="Textonotapie"/>
      </w:pPr>
      <w:r>
        <w:rPr>
          <w:rStyle w:val="Refdenotaalpie"/>
        </w:rPr>
        <w:footnoteRef/>
      </w:r>
      <w:r>
        <w:t xml:space="preserve"> In order to apply and get a discharge permit, firms need to </w:t>
      </w:r>
      <w:r>
        <w:rPr>
          <w:iCs/>
        </w:rPr>
        <w:t xml:space="preserve">supply a large amount of information with regards to its production capacity and processes for the regulator to be able to tell </w:t>
      </w:r>
      <w:r>
        <w:t>if the treatment plant that a firm plan to build is capable of treating the firm’s effluents.</w:t>
      </w:r>
    </w:p>
  </w:footnote>
  <w:footnote w:id="18">
    <w:p w:rsidR="00C1319C" w:rsidRPr="001D70D4" w:rsidRDefault="00C1319C">
      <w:pPr>
        <w:pStyle w:val="Textonotapie"/>
      </w:pPr>
      <w:r>
        <w:rPr>
          <w:rStyle w:val="Refdenotaalpie"/>
        </w:rPr>
        <w:footnoteRef/>
      </w:r>
      <w:r>
        <w:t xml:space="preserve"> </w:t>
      </w:r>
      <w:r w:rsidRPr="001D70D4">
        <w:t>This section is based on Uribe (2004)</w:t>
      </w:r>
      <w:r>
        <w:t xml:space="preserve">, Head of the Environmental Policy and Regional Autonomous Corporations Division of the Department of National Planning between 1990 and 1994; co-writer of the Law 99 of 1993 and one of the two delegates representing the national government </w:t>
      </w:r>
      <w:r w:rsidRPr="00C323AB">
        <w:t>throu</w:t>
      </w:r>
      <w:r>
        <w:t>gh</w:t>
      </w:r>
      <w:r w:rsidRPr="00C323AB">
        <w:t>out</w:t>
      </w:r>
      <w:r>
        <w:t xml:space="preserve"> the consultation process and discussions in Congress.</w:t>
      </w:r>
    </w:p>
  </w:footnote>
  <w:footnote w:id="19">
    <w:p w:rsidR="00C1319C" w:rsidRPr="00A7434F" w:rsidRDefault="00C1319C">
      <w:pPr>
        <w:pStyle w:val="Textonotapie"/>
      </w:pPr>
      <w:r>
        <w:rPr>
          <w:rStyle w:val="Refdenotaalpie"/>
        </w:rPr>
        <w:footnoteRef/>
      </w:r>
      <w:r>
        <w:t xml:space="preserve"> The story behind the strong support of Gaviria, and some key member of its government and legislators to the environmental reform is interesting in its own. See Uribe (2004) and the citations therein. </w:t>
      </w:r>
    </w:p>
  </w:footnote>
  <w:footnote w:id="20">
    <w:p w:rsidR="00C1319C" w:rsidRPr="002465D9" w:rsidRDefault="00C1319C">
      <w:pPr>
        <w:pStyle w:val="Textonotapie"/>
      </w:pPr>
      <w:r>
        <w:rPr>
          <w:rStyle w:val="Refdenotaalpie"/>
        </w:rPr>
        <w:footnoteRef/>
      </w:r>
      <w:r>
        <w:t xml:space="preserve"> </w:t>
      </w:r>
      <w:r w:rsidRPr="002465D9">
        <w:t>Telephone conversation with Dr. Hubert M</w:t>
      </w:r>
      <w:r>
        <w:t xml:space="preserve">éndez, former </w:t>
      </w:r>
      <w:r w:rsidRPr="008F64D6">
        <w:t>Mayor</w:t>
      </w:r>
      <w:r>
        <w:t xml:space="preserve"> of San José and National Environmental Comptroller of Costa Rica. (October 22, 2009). </w:t>
      </w:r>
    </w:p>
  </w:footnote>
  <w:footnote w:id="21">
    <w:p w:rsidR="00C1319C" w:rsidRPr="00767FDC" w:rsidRDefault="00C1319C">
      <w:pPr>
        <w:pStyle w:val="Textonotapie"/>
      </w:pPr>
      <w:r>
        <w:rPr>
          <w:rStyle w:val="Refdenotaalpie"/>
        </w:rPr>
        <w:footnoteRef/>
      </w:r>
      <w:r>
        <w:t xml:space="preserve"> </w:t>
      </w:r>
      <w:r w:rsidRPr="00767FDC">
        <w:rPr>
          <w:i/>
        </w:rPr>
        <w:t>Ibíd</w:t>
      </w:r>
      <w:r w:rsidRPr="00767FDC">
        <w:t>.</w:t>
      </w:r>
    </w:p>
  </w:footnote>
  <w:footnote w:id="22">
    <w:p w:rsidR="00C1319C" w:rsidRPr="00507E28" w:rsidRDefault="00C1319C" w:rsidP="00433D5C">
      <w:r>
        <w:rPr>
          <w:rStyle w:val="Refdenotaalpie"/>
        </w:rPr>
        <w:footnoteRef/>
      </w:r>
      <w:r w:rsidRPr="00507E28">
        <w:t xml:space="preserve"> Included in “Un canon por vertidos para el control de la contaminación hídrica”, </w:t>
      </w:r>
      <w:r>
        <w:t xml:space="preserve">by Hubert Mendez and Raúl López (2004), a technical book edited by </w:t>
      </w:r>
      <w:r w:rsidRPr="00507E28">
        <w:t>Central American Commission for the Environment and Development.</w:t>
      </w:r>
      <w:r>
        <w:t xml:space="preserve"> (Méndez, e-mail communication, October 20</w:t>
      </w:r>
      <w:r w:rsidRPr="00507E28">
        <w:rPr>
          <w:vertAlign w:val="superscript"/>
        </w:rPr>
        <w:t>th</w:t>
      </w:r>
      <w:r>
        <w:t>, 2009).</w:t>
      </w:r>
    </w:p>
    <w:p w:rsidR="00C1319C" w:rsidRPr="00507E28" w:rsidRDefault="00C1319C" w:rsidP="00433D5C">
      <w:pPr>
        <w:pStyle w:val="Textonotapie"/>
      </w:pPr>
    </w:p>
  </w:footnote>
  <w:footnote w:id="23">
    <w:p w:rsidR="002F790B" w:rsidRDefault="002F790B" w:rsidP="002F790B">
      <w:pPr>
        <w:pStyle w:val="Textonotapie"/>
        <w:rPr>
          <w:lang w:val="en-GB"/>
        </w:rPr>
      </w:pPr>
      <w:r>
        <w:rPr>
          <w:rStyle w:val="Refdenotaalpie"/>
        </w:rPr>
        <w:footnoteRef/>
      </w:r>
      <w:r>
        <w:rPr>
          <w:lang w:val="en-GB"/>
        </w:rPr>
        <w:t xml:space="preserve"> Articles 42 to 45 of the “Decreto de la Junta Departamental N° 26.949”, December 14th, 1995.</w:t>
      </w:r>
    </w:p>
  </w:footnote>
  <w:footnote w:id="24">
    <w:p w:rsidR="003E01D8" w:rsidRPr="008D6502" w:rsidRDefault="003E01D8" w:rsidP="003E01D8">
      <w:pPr>
        <w:pStyle w:val="Textonotapie"/>
      </w:pPr>
      <w:r>
        <w:rPr>
          <w:rStyle w:val="Refdenotaalpie"/>
        </w:rPr>
        <w:footnoteRef/>
      </w:r>
      <w:r>
        <w:t xml:space="preserve"> </w:t>
      </w:r>
      <w:r w:rsidRPr="008D6502">
        <w:t xml:space="preserve">Even more interesting, </w:t>
      </w:r>
      <w:r>
        <w:t>the political group to which the Uruguayan President at that time and several of the legislators behind the initiative to repeal the effluent charges belonged had a program proposing economic instruments and more specifically charges to control pollution (See Gudynas (1996), footnote 16).</w:t>
      </w:r>
    </w:p>
  </w:footnote>
  <w:footnote w:id="25">
    <w:p w:rsidR="00C25058" w:rsidRPr="002F790B" w:rsidRDefault="00C25058" w:rsidP="00C25058">
      <w:pPr>
        <w:pStyle w:val="Textonotapie"/>
      </w:pPr>
      <w:r>
        <w:rPr>
          <w:rStyle w:val="Refdenotaalpie"/>
        </w:rPr>
        <w:footnoteRef/>
      </w:r>
      <w:r>
        <w:t xml:space="preserve"> This is clearly illustrated by two of the three short interventions of legislators that marginally touched the issue of incentives. Rep. D. García Pintos (Partido </w:t>
      </w:r>
      <w:smartTag w:uri="urn:schemas-microsoft-com:office:smarttags" w:element="place">
        <w:smartTag w:uri="urn:schemas-microsoft-com:office:smarttags" w:element="State">
          <w:r>
            <w:t>Colorado</w:t>
          </w:r>
        </w:smartTag>
      </w:smartTag>
      <w:r>
        <w:t xml:space="preserve">), arguing on the illegitimacy of the charge, said: “…(the charge) converts environmental degradation, pollution and the risk of public health in a source of revenues: “The more you pollute, the more you pay”, instead of preventing more pollution” (p. 97). Finally, Rep. E. Rubio (Frente Amplio) said: “We have been talking here of an eco-tax and that this affects employment. But gentlemen, the ecological component is central in a modern conception of international competitiveness! … who is in touch with what happens in the world knows that those perverse industry men that do not invest </w:t>
      </w:r>
      <w:r>
        <w:rPr>
          <w:lang w:val="en-GB"/>
        </w:rPr>
        <w:t xml:space="preserve">ecologically won’t succeed.” </w:t>
      </w:r>
      <w:r w:rsidRPr="002F790B">
        <w:t xml:space="preserve">(p. 110). </w:t>
      </w:r>
    </w:p>
  </w:footnote>
  <w:footnote w:id="26">
    <w:p w:rsidR="007B4753" w:rsidRPr="007B4753" w:rsidRDefault="007B4753">
      <w:pPr>
        <w:pStyle w:val="Textonotapie"/>
      </w:pPr>
      <w:r>
        <w:rPr>
          <w:rStyle w:val="Refdenotaalpie"/>
        </w:rPr>
        <w:footnoteRef/>
      </w:r>
      <w:r>
        <w:t xml:space="preserve"> </w:t>
      </w:r>
      <w:r w:rsidRPr="002465D9">
        <w:t>Telephone conversation with Dr. Hubert M</w:t>
      </w:r>
      <w:r>
        <w:t>éndez, October 22, 2009</w:t>
      </w:r>
      <w:r w:rsidR="007A3639">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7D4"/>
    <w:multiLevelType w:val="hybridMultilevel"/>
    <w:tmpl w:val="11788EBE"/>
    <w:lvl w:ilvl="0" w:tplc="47D671D2">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1">
    <w:nsid w:val="06FF12F2"/>
    <w:multiLevelType w:val="multilevel"/>
    <w:tmpl w:val="0E72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23372"/>
    <w:multiLevelType w:val="hybridMultilevel"/>
    <w:tmpl w:val="BF42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64FEA"/>
    <w:multiLevelType w:val="hybridMultilevel"/>
    <w:tmpl w:val="3ADEA4F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nsid w:val="221074B2"/>
    <w:multiLevelType w:val="hybridMultilevel"/>
    <w:tmpl w:val="76ECABE2"/>
    <w:lvl w:ilvl="0" w:tplc="2E14049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5">
    <w:nsid w:val="2E7B5648"/>
    <w:multiLevelType w:val="hybridMultilevel"/>
    <w:tmpl w:val="5EA0A4EC"/>
    <w:lvl w:ilvl="0" w:tplc="0C0A000F">
      <w:start w:val="1"/>
      <w:numFmt w:val="decimal"/>
      <w:lvlText w:val="%1."/>
      <w:lvlJc w:val="left"/>
      <w:pPr>
        <w:ind w:left="360" w:hanging="360"/>
      </w:pPr>
      <w:rPr>
        <w:rFonts w:hint="default"/>
      </w:rPr>
    </w:lvl>
    <w:lvl w:ilvl="1" w:tplc="9F60A69C">
      <w:start w:val="1"/>
      <w:numFmt w:val="lowerLetter"/>
      <w:lvlText w:val="%2."/>
      <w:lvlJc w:val="left"/>
      <w:pPr>
        <w:ind w:left="1080" w:hanging="360"/>
      </w:pPr>
      <w:rPr>
        <w:rFonts w:hint="default"/>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2E8F5211"/>
    <w:multiLevelType w:val="hybridMultilevel"/>
    <w:tmpl w:val="73AE5322"/>
    <w:lvl w:ilvl="0" w:tplc="04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5C6DC5"/>
    <w:multiLevelType w:val="hybridMultilevel"/>
    <w:tmpl w:val="B992B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161F2"/>
    <w:multiLevelType w:val="hybridMultilevel"/>
    <w:tmpl w:val="76481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F5714B"/>
    <w:multiLevelType w:val="multilevel"/>
    <w:tmpl w:val="B88428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36E51BC"/>
    <w:multiLevelType w:val="hybridMultilevel"/>
    <w:tmpl w:val="EE864DD6"/>
    <w:lvl w:ilvl="0" w:tplc="F5B27570">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5"/>
  </w:num>
  <w:num w:numId="3">
    <w:abstractNumId w:val="10"/>
  </w:num>
  <w:num w:numId="4">
    <w:abstractNumId w:val="1"/>
  </w:num>
  <w:num w:numId="5">
    <w:abstractNumId w:val="6"/>
  </w:num>
  <w:num w:numId="6">
    <w:abstractNumId w:val="7"/>
  </w:num>
  <w:num w:numId="7">
    <w:abstractNumId w:val="2"/>
  </w:num>
  <w:num w:numId="8">
    <w:abstractNumId w:val="9"/>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9"/>
  <w:embedSystemFonts/>
  <w:attachedTemplate r:id="rId1"/>
  <w:linkStyles/>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F1E16"/>
    <w:rsid w:val="0000022D"/>
    <w:rsid w:val="0000065C"/>
    <w:rsid w:val="00001B9B"/>
    <w:rsid w:val="00001DD5"/>
    <w:rsid w:val="00002C05"/>
    <w:rsid w:val="000033F3"/>
    <w:rsid w:val="000034BD"/>
    <w:rsid w:val="0000404B"/>
    <w:rsid w:val="0000456E"/>
    <w:rsid w:val="000057F6"/>
    <w:rsid w:val="000077E8"/>
    <w:rsid w:val="00007C74"/>
    <w:rsid w:val="00007FC1"/>
    <w:rsid w:val="0001049D"/>
    <w:rsid w:val="00011371"/>
    <w:rsid w:val="00011EEB"/>
    <w:rsid w:val="0001207E"/>
    <w:rsid w:val="0001275B"/>
    <w:rsid w:val="0001316F"/>
    <w:rsid w:val="000138DA"/>
    <w:rsid w:val="00014A63"/>
    <w:rsid w:val="00015006"/>
    <w:rsid w:val="000152AC"/>
    <w:rsid w:val="0001532C"/>
    <w:rsid w:val="000157E2"/>
    <w:rsid w:val="00015BC2"/>
    <w:rsid w:val="000162F6"/>
    <w:rsid w:val="00016973"/>
    <w:rsid w:val="00017568"/>
    <w:rsid w:val="0002032C"/>
    <w:rsid w:val="00020744"/>
    <w:rsid w:val="00020770"/>
    <w:rsid w:val="00020B66"/>
    <w:rsid w:val="00020C08"/>
    <w:rsid w:val="00020DDC"/>
    <w:rsid w:val="00021C33"/>
    <w:rsid w:val="00021C90"/>
    <w:rsid w:val="0002388C"/>
    <w:rsid w:val="00024D5C"/>
    <w:rsid w:val="000252A5"/>
    <w:rsid w:val="00025537"/>
    <w:rsid w:val="000257C3"/>
    <w:rsid w:val="000258DD"/>
    <w:rsid w:val="00025E56"/>
    <w:rsid w:val="0002608C"/>
    <w:rsid w:val="00026ACF"/>
    <w:rsid w:val="00027F14"/>
    <w:rsid w:val="000313ED"/>
    <w:rsid w:val="0003195B"/>
    <w:rsid w:val="00032847"/>
    <w:rsid w:val="00032C5F"/>
    <w:rsid w:val="00035953"/>
    <w:rsid w:val="00035A13"/>
    <w:rsid w:val="00035A7F"/>
    <w:rsid w:val="00040279"/>
    <w:rsid w:val="0004176D"/>
    <w:rsid w:val="000419C5"/>
    <w:rsid w:val="00043FE6"/>
    <w:rsid w:val="00044BE9"/>
    <w:rsid w:val="0004583B"/>
    <w:rsid w:val="0004780C"/>
    <w:rsid w:val="0005000A"/>
    <w:rsid w:val="0005008F"/>
    <w:rsid w:val="00050459"/>
    <w:rsid w:val="00050A54"/>
    <w:rsid w:val="00051086"/>
    <w:rsid w:val="00051985"/>
    <w:rsid w:val="00051E50"/>
    <w:rsid w:val="00052599"/>
    <w:rsid w:val="00052E00"/>
    <w:rsid w:val="00053A0A"/>
    <w:rsid w:val="00053BFA"/>
    <w:rsid w:val="00053C5F"/>
    <w:rsid w:val="000556BD"/>
    <w:rsid w:val="00055FB2"/>
    <w:rsid w:val="00056078"/>
    <w:rsid w:val="000565BC"/>
    <w:rsid w:val="0005692B"/>
    <w:rsid w:val="000607EE"/>
    <w:rsid w:val="00060CC6"/>
    <w:rsid w:val="000627FE"/>
    <w:rsid w:val="00062822"/>
    <w:rsid w:val="00062FD8"/>
    <w:rsid w:val="000642CD"/>
    <w:rsid w:val="000655A7"/>
    <w:rsid w:val="00066C3D"/>
    <w:rsid w:val="00066E07"/>
    <w:rsid w:val="0006707E"/>
    <w:rsid w:val="00067EC1"/>
    <w:rsid w:val="00067F21"/>
    <w:rsid w:val="00070345"/>
    <w:rsid w:val="00071514"/>
    <w:rsid w:val="0007420E"/>
    <w:rsid w:val="00074A7C"/>
    <w:rsid w:val="00075023"/>
    <w:rsid w:val="00077709"/>
    <w:rsid w:val="00077C11"/>
    <w:rsid w:val="00077F20"/>
    <w:rsid w:val="00081057"/>
    <w:rsid w:val="00081B55"/>
    <w:rsid w:val="00082B19"/>
    <w:rsid w:val="000840B4"/>
    <w:rsid w:val="000844ED"/>
    <w:rsid w:val="00085F14"/>
    <w:rsid w:val="00086F7B"/>
    <w:rsid w:val="00087037"/>
    <w:rsid w:val="00090B7B"/>
    <w:rsid w:val="0009186C"/>
    <w:rsid w:val="00091DC6"/>
    <w:rsid w:val="00091E11"/>
    <w:rsid w:val="00091EB6"/>
    <w:rsid w:val="00092A0D"/>
    <w:rsid w:val="00092A82"/>
    <w:rsid w:val="00092DC9"/>
    <w:rsid w:val="00092E71"/>
    <w:rsid w:val="00094F07"/>
    <w:rsid w:val="00096BF9"/>
    <w:rsid w:val="00096DA2"/>
    <w:rsid w:val="00097307"/>
    <w:rsid w:val="000A06A7"/>
    <w:rsid w:val="000A29F2"/>
    <w:rsid w:val="000A363F"/>
    <w:rsid w:val="000A3FDD"/>
    <w:rsid w:val="000A648C"/>
    <w:rsid w:val="000A7BAC"/>
    <w:rsid w:val="000B0441"/>
    <w:rsid w:val="000B0A80"/>
    <w:rsid w:val="000B2D8F"/>
    <w:rsid w:val="000B31F6"/>
    <w:rsid w:val="000B335F"/>
    <w:rsid w:val="000B47F4"/>
    <w:rsid w:val="000B6A23"/>
    <w:rsid w:val="000B71AD"/>
    <w:rsid w:val="000B7A44"/>
    <w:rsid w:val="000C0B35"/>
    <w:rsid w:val="000C0F58"/>
    <w:rsid w:val="000C230B"/>
    <w:rsid w:val="000C2D4D"/>
    <w:rsid w:val="000C4118"/>
    <w:rsid w:val="000C4D7B"/>
    <w:rsid w:val="000C585D"/>
    <w:rsid w:val="000C5BBB"/>
    <w:rsid w:val="000C5C4E"/>
    <w:rsid w:val="000C5CF4"/>
    <w:rsid w:val="000C5FB3"/>
    <w:rsid w:val="000C69D3"/>
    <w:rsid w:val="000D0E9B"/>
    <w:rsid w:val="000D0F9F"/>
    <w:rsid w:val="000D146D"/>
    <w:rsid w:val="000D2106"/>
    <w:rsid w:val="000D26CB"/>
    <w:rsid w:val="000D3A68"/>
    <w:rsid w:val="000D4DAF"/>
    <w:rsid w:val="000E059A"/>
    <w:rsid w:val="000E0B5D"/>
    <w:rsid w:val="000E1409"/>
    <w:rsid w:val="000E163C"/>
    <w:rsid w:val="000E17FE"/>
    <w:rsid w:val="000E1FCB"/>
    <w:rsid w:val="000E20BF"/>
    <w:rsid w:val="000E39F0"/>
    <w:rsid w:val="000E46D7"/>
    <w:rsid w:val="000E4AFF"/>
    <w:rsid w:val="000E584B"/>
    <w:rsid w:val="000E5C53"/>
    <w:rsid w:val="000E616C"/>
    <w:rsid w:val="000E668A"/>
    <w:rsid w:val="000E6AAC"/>
    <w:rsid w:val="000E6FED"/>
    <w:rsid w:val="000E7B8F"/>
    <w:rsid w:val="000E7E23"/>
    <w:rsid w:val="000F1D2A"/>
    <w:rsid w:val="000F1E75"/>
    <w:rsid w:val="000F38A4"/>
    <w:rsid w:val="000F3B86"/>
    <w:rsid w:val="000F41CB"/>
    <w:rsid w:val="000F4A48"/>
    <w:rsid w:val="000F5AB4"/>
    <w:rsid w:val="000F5B02"/>
    <w:rsid w:val="000F69C0"/>
    <w:rsid w:val="000F7199"/>
    <w:rsid w:val="000F71AC"/>
    <w:rsid w:val="000F7BB5"/>
    <w:rsid w:val="000F7FEE"/>
    <w:rsid w:val="00100B5A"/>
    <w:rsid w:val="00101962"/>
    <w:rsid w:val="00102362"/>
    <w:rsid w:val="00104598"/>
    <w:rsid w:val="00104774"/>
    <w:rsid w:val="0011100E"/>
    <w:rsid w:val="0011164F"/>
    <w:rsid w:val="001125F9"/>
    <w:rsid w:val="00113942"/>
    <w:rsid w:val="001139AC"/>
    <w:rsid w:val="00113C81"/>
    <w:rsid w:val="001151E5"/>
    <w:rsid w:val="00116635"/>
    <w:rsid w:val="00116934"/>
    <w:rsid w:val="00116EF9"/>
    <w:rsid w:val="00117565"/>
    <w:rsid w:val="001207D7"/>
    <w:rsid w:val="00120A3E"/>
    <w:rsid w:val="00121B9B"/>
    <w:rsid w:val="00121E34"/>
    <w:rsid w:val="001220C6"/>
    <w:rsid w:val="001222F0"/>
    <w:rsid w:val="0012512A"/>
    <w:rsid w:val="001251D6"/>
    <w:rsid w:val="00125821"/>
    <w:rsid w:val="00125CD8"/>
    <w:rsid w:val="00125EF3"/>
    <w:rsid w:val="00126AD9"/>
    <w:rsid w:val="00126B88"/>
    <w:rsid w:val="001274AE"/>
    <w:rsid w:val="00127F84"/>
    <w:rsid w:val="00130983"/>
    <w:rsid w:val="001309A5"/>
    <w:rsid w:val="0013133C"/>
    <w:rsid w:val="00132689"/>
    <w:rsid w:val="00132A54"/>
    <w:rsid w:val="00133061"/>
    <w:rsid w:val="001331D8"/>
    <w:rsid w:val="00133FB1"/>
    <w:rsid w:val="0013405D"/>
    <w:rsid w:val="00134608"/>
    <w:rsid w:val="00135941"/>
    <w:rsid w:val="001360C7"/>
    <w:rsid w:val="00137CFC"/>
    <w:rsid w:val="00140841"/>
    <w:rsid w:val="00140B2C"/>
    <w:rsid w:val="001412EE"/>
    <w:rsid w:val="001424FD"/>
    <w:rsid w:val="001429E5"/>
    <w:rsid w:val="001439AD"/>
    <w:rsid w:val="00144F48"/>
    <w:rsid w:val="0014515A"/>
    <w:rsid w:val="00145C1E"/>
    <w:rsid w:val="00146D9F"/>
    <w:rsid w:val="00147295"/>
    <w:rsid w:val="00147432"/>
    <w:rsid w:val="00147AC5"/>
    <w:rsid w:val="001501F8"/>
    <w:rsid w:val="00150259"/>
    <w:rsid w:val="00150E77"/>
    <w:rsid w:val="0015307A"/>
    <w:rsid w:val="00153ADE"/>
    <w:rsid w:val="00154046"/>
    <w:rsid w:val="0015485A"/>
    <w:rsid w:val="0015485C"/>
    <w:rsid w:val="00154EA5"/>
    <w:rsid w:val="001551A9"/>
    <w:rsid w:val="00156997"/>
    <w:rsid w:val="00160843"/>
    <w:rsid w:val="00163465"/>
    <w:rsid w:val="001634F6"/>
    <w:rsid w:val="00163A48"/>
    <w:rsid w:val="00163E36"/>
    <w:rsid w:val="001640A7"/>
    <w:rsid w:val="00164586"/>
    <w:rsid w:val="0016468A"/>
    <w:rsid w:val="001649F8"/>
    <w:rsid w:val="00164C31"/>
    <w:rsid w:val="00164D19"/>
    <w:rsid w:val="0016513D"/>
    <w:rsid w:val="00165187"/>
    <w:rsid w:val="00165644"/>
    <w:rsid w:val="001656AD"/>
    <w:rsid w:val="00166CA6"/>
    <w:rsid w:val="00170854"/>
    <w:rsid w:val="00170CAC"/>
    <w:rsid w:val="00170D3E"/>
    <w:rsid w:val="001714E1"/>
    <w:rsid w:val="0017363A"/>
    <w:rsid w:val="00175731"/>
    <w:rsid w:val="00175974"/>
    <w:rsid w:val="001767B7"/>
    <w:rsid w:val="00177FEB"/>
    <w:rsid w:val="0018087E"/>
    <w:rsid w:val="001812EA"/>
    <w:rsid w:val="00184B32"/>
    <w:rsid w:val="0018573C"/>
    <w:rsid w:val="00185939"/>
    <w:rsid w:val="001863EE"/>
    <w:rsid w:val="00186982"/>
    <w:rsid w:val="00187D19"/>
    <w:rsid w:val="00190611"/>
    <w:rsid w:val="00190CBD"/>
    <w:rsid w:val="00190DFB"/>
    <w:rsid w:val="00191EFB"/>
    <w:rsid w:val="001922DD"/>
    <w:rsid w:val="0019291E"/>
    <w:rsid w:val="001929D3"/>
    <w:rsid w:val="00192EAA"/>
    <w:rsid w:val="00195079"/>
    <w:rsid w:val="001950D6"/>
    <w:rsid w:val="001957A5"/>
    <w:rsid w:val="00196AB0"/>
    <w:rsid w:val="00197BB6"/>
    <w:rsid w:val="00197E06"/>
    <w:rsid w:val="001A01D8"/>
    <w:rsid w:val="001A20C8"/>
    <w:rsid w:val="001A388D"/>
    <w:rsid w:val="001A3C4A"/>
    <w:rsid w:val="001A3EAD"/>
    <w:rsid w:val="001A44D0"/>
    <w:rsid w:val="001A623D"/>
    <w:rsid w:val="001A65E4"/>
    <w:rsid w:val="001A6CA8"/>
    <w:rsid w:val="001A734D"/>
    <w:rsid w:val="001B0929"/>
    <w:rsid w:val="001B12B6"/>
    <w:rsid w:val="001B1598"/>
    <w:rsid w:val="001B3224"/>
    <w:rsid w:val="001B3472"/>
    <w:rsid w:val="001B6195"/>
    <w:rsid w:val="001C022A"/>
    <w:rsid w:val="001C2FF0"/>
    <w:rsid w:val="001C3354"/>
    <w:rsid w:val="001C399E"/>
    <w:rsid w:val="001C5EF0"/>
    <w:rsid w:val="001C6523"/>
    <w:rsid w:val="001C7607"/>
    <w:rsid w:val="001C7E68"/>
    <w:rsid w:val="001D0376"/>
    <w:rsid w:val="001D44DD"/>
    <w:rsid w:val="001D5DE2"/>
    <w:rsid w:val="001D5F52"/>
    <w:rsid w:val="001D6951"/>
    <w:rsid w:val="001D70D4"/>
    <w:rsid w:val="001D7907"/>
    <w:rsid w:val="001E1603"/>
    <w:rsid w:val="001E1CA1"/>
    <w:rsid w:val="001E27DE"/>
    <w:rsid w:val="001E2914"/>
    <w:rsid w:val="001E2E22"/>
    <w:rsid w:val="001E3728"/>
    <w:rsid w:val="001E52F5"/>
    <w:rsid w:val="001E5935"/>
    <w:rsid w:val="001E65FE"/>
    <w:rsid w:val="001E6C62"/>
    <w:rsid w:val="001E6DBA"/>
    <w:rsid w:val="001E712A"/>
    <w:rsid w:val="001F10EA"/>
    <w:rsid w:val="001F1F4A"/>
    <w:rsid w:val="001F240F"/>
    <w:rsid w:val="001F2C60"/>
    <w:rsid w:val="001F4A91"/>
    <w:rsid w:val="001F4AA2"/>
    <w:rsid w:val="001F50AB"/>
    <w:rsid w:val="001F58C6"/>
    <w:rsid w:val="001F651E"/>
    <w:rsid w:val="001F6B7D"/>
    <w:rsid w:val="001F6F72"/>
    <w:rsid w:val="00200119"/>
    <w:rsid w:val="00200B9B"/>
    <w:rsid w:val="00200CCF"/>
    <w:rsid w:val="0020139A"/>
    <w:rsid w:val="00201B90"/>
    <w:rsid w:val="00201B99"/>
    <w:rsid w:val="00203450"/>
    <w:rsid w:val="00204051"/>
    <w:rsid w:val="00204296"/>
    <w:rsid w:val="00204729"/>
    <w:rsid w:val="002051D9"/>
    <w:rsid w:val="002059F7"/>
    <w:rsid w:val="00206232"/>
    <w:rsid w:val="00207D6C"/>
    <w:rsid w:val="00210A2A"/>
    <w:rsid w:val="00210B14"/>
    <w:rsid w:val="00210C01"/>
    <w:rsid w:val="002110F4"/>
    <w:rsid w:val="002115E3"/>
    <w:rsid w:val="00211618"/>
    <w:rsid w:val="00211D98"/>
    <w:rsid w:val="002128A1"/>
    <w:rsid w:val="00212AA8"/>
    <w:rsid w:val="002131BA"/>
    <w:rsid w:val="0021376F"/>
    <w:rsid w:val="002137D9"/>
    <w:rsid w:val="00213A07"/>
    <w:rsid w:val="002141A8"/>
    <w:rsid w:val="00214A7B"/>
    <w:rsid w:val="00214C62"/>
    <w:rsid w:val="002174B8"/>
    <w:rsid w:val="00217842"/>
    <w:rsid w:val="00220103"/>
    <w:rsid w:val="00220108"/>
    <w:rsid w:val="00220241"/>
    <w:rsid w:val="00220ADF"/>
    <w:rsid w:val="00220CA1"/>
    <w:rsid w:val="00220F4C"/>
    <w:rsid w:val="00221210"/>
    <w:rsid w:val="0022222B"/>
    <w:rsid w:val="00222DE4"/>
    <w:rsid w:val="00222FDD"/>
    <w:rsid w:val="00223D42"/>
    <w:rsid w:val="002240AF"/>
    <w:rsid w:val="00225908"/>
    <w:rsid w:val="00225CFD"/>
    <w:rsid w:val="002269B6"/>
    <w:rsid w:val="00226F4A"/>
    <w:rsid w:val="0023023C"/>
    <w:rsid w:val="00230AB4"/>
    <w:rsid w:val="00230BEA"/>
    <w:rsid w:val="00232157"/>
    <w:rsid w:val="00232619"/>
    <w:rsid w:val="00234050"/>
    <w:rsid w:val="002376F2"/>
    <w:rsid w:val="002379D3"/>
    <w:rsid w:val="002403A1"/>
    <w:rsid w:val="002404FF"/>
    <w:rsid w:val="002407FD"/>
    <w:rsid w:val="00240853"/>
    <w:rsid w:val="00241C6B"/>
    <w:rsid w:val="00242C10"/>
    <w:rsid w:val="00242D25"/>
    <w:rsid w:val="002430E7"/>
    <w:rsid w:val="00243B92"/>
    <w:rsid w:val="00243DD0"/>
    <w:rsid w:val="00244883"/>
    <w:rsid w:val="00244C82"/>
    <w:rsid w:val="00245288"/>
    <w:rsid w:val="00245520"/>
    <w:rsid w:val="00245897"/>
    <w:rsid w:val="00245F05"/>
    <w:rsid w:val="002461A0"/>
    <w:rsid w:val="002462ED"/>
    <w:rsid w:val="002465D9"/>
    <w:rsid w:val="00246C34"/>
    <w:rsid w:val="00247AC8"/>
    <w:rsid w:val="002512E4"/>
    <w:rsid w:val="002518F0"/>
    <w:rsid w:val="00252289"/>
    <w:rsid w:val="002532E3"/>
    <w:rsid w:val="002546DB"/>
    <w:rsid w:val="00254787"/>
    <w:rsid w:val="00254B24"/>
    <w:rsid w:val="00254E9F"/>
    <w:rsid w:val="00255395"/>
    <w:rsid w:val="00255802"/>
    <w:rsid w:val="00256629"/>
    <w:rsid w:val="00256B91"/>
    <w:rsid w:val="00257FFB"/>
    <w:rsid w:val="00260AEA"/>
    <w:rsid w:val="00260C54"/>
    <w:rsid w:val="00261861"/>
    <w:rsid w:val="002623F2"/>
    <w:rsid w:val="002643FE"/>
    <w:rsid w:val="00264E26"/>
    <w:rsid w:val="002656F0"/>
    <w:rsid w:val="00266799"/>
    <w:rsid w:val="00267618"/>
    <w:rsid w:val="00267C3A"/>
    <w:rsid w:val="002708C1"/>
    <w:rsid w:val="00270937"/>
    <w:rsid w:val="00271A6D"/>
    <w:rsid w:val="00271BE5"/>
    <w:rsid w:val="00272304"/>
    <w:rsid w:val="0027312B"/>
    <w:rsid w:val="002732A0"/>
    <w:rsid w:val="002736AD"/>
    <w:rsid w:val="002738F4"/>
    <w:rsid w:val="002739C1"/>
    <w:rsid w:val="00273B63"/>
    <w:rsid w:val="002742E8"/>
    <w:rsid w:val="00275FE3"/>
    <w:rsid w:val="002766CB"/>
    <w:rsid w:val="00276ED5"/>
    <w:rsid w:val="00277E4C"/>
    <w:rsid w:val="002816EB"/>
    <w:rsid w:val="00282C95"/>
    <w:rsid w:val="00282CBD"/>
    <w:rsid w:val="002834D1"/>
    <w:rsid w:val="00284136"/>
    <w:rsid w:val="00284AC4"/>
    <w:rsid w:val="0028594D"/>
    <w:rsid w:val="00286217"/>
    <w:rsid w:val="00286F0C"/>
    <w:rsid w:val="00291223"/>
    <w:rsid w:val="002916D6"/>
    <w:rsid w:val="00291B41"/>
    <w:rsid w:val="00292004"/>
    <w:rsid w:val="00292F1D"/>
    <w:rsid w:val="002942A3"/>
    <w:rsid w:val="00294FC5"/>
    <w:rsid w:val="002951FE"/>
    <w:rsid w:val="002958AD"/>
    <w:rsid w:val="002959A9"/>
    <w:rsid w:val="00296295"/>
    <w:rsid w:val="00296ADB"/>
    <w:rsid w:val="00296ADE"/>
    <w:rsid w:val="0029743E"/>
    <w:rsid w:val="002977EC"/>
    <w:rsid w:val="00297EC0"/>
    <w:rsid w:val="00297F7D"/>
    <w:rsid w:val="002A217B"/>
    <w:rsid w:val="002A24A2"/>
    <w:rsid w:val="002A3145"/>
    <w:rsid w:val="002A3AF5"/>
    <w:rsid w:val="002A3D44"/>
    <w:rsid w:val="002A41F8"/>
    <w:rsid w:val="002A4511"/>
    <w:rsid w:val="002A4726"/>
    <w:rsid w:val="002A4FF5"/>
    <w:rsid w:val="002A5247"/>
    <w:rsid w:val="002A5482"/>
    <w:rsid w:val="002A60F5"/>
    <w:rsid w:val="002A7B2D"/>
    <w:rsid w:val="002A7F0D"/>
    <w:rsid w:val="002B1CDD"/>
    <w:rsid w:val="002B2CF7"/>
    <w:rsid w:val="002B389F"/>
    <w:rsid w:val="002B40FB"/>
    <w:rsid w:val="002B41EE"/>
    <w:rsid w:val="002B5095"/>
    <w:rsid w:val="002B53A0"/>
    <w:rsid w:val="002B6959"/>
    <w:rsid w:val="002B6FD0"/>
    <w:rsid w:val="002C1674"/>
    <w:rsid w:val="002C16FA"/>
    <w:rsid w:val="002C217B"/>
    <w:rsid w:val="002C25B4"/>
    <w:rsid w:val="002C330F"/>
    <w:rsid w:val="002C342D"/>
    <w:rsid w:val="002C3791"/>
    <w:rsid w:val="002C3895"/>
    <w:rsid w:val="002C446E"/>
    <w:rsid w:val="002C4BAA"/>
    <w:rsid w:val="002C4E54"/>
    <w:rsid w:val="002C6036"/>
    <w:rsid w:val="002C7DD5"/>
    <w:rsid w:val="002D0E43"/>
    <w:rsid w:val="002D26DB"/>
    <w:rsid w:val="002D42F6"/>
    <w:rsid w:val="002D4872"/>
    <w:rsid w:val="002D4AA8"/>
    <w:rsid w:val="002D52A3"/>
    <w:rsid w:val="002D5B3A"/>
    <w:rsid w:val="002D5B44"/>
    <w:rsid w:val="002D5EF1"/>
    <w:rsid w:val="002D6CF7"/>
    <w:rsid w:val="002E0548"/>
    <w:rsid w:val="002E1403"/>
    <w:rsid w:val="002E2613"/>
    <w:rsid w:val="002E2714"/>
    <w:rsid w:val="002E290A"/>
    <w:rsid w:val="002E3049"/>
    <w:rsid w:val="002E4B4E"/>
    <w:rsid w:val="002E633A"/>
    <w:rsid w:val="002E6C9B"/>
    <w:rsid w:val="002E761B"/>
    <w:rsid w:val="002E7A6F"/>
    <w:rsid w:val="002F01D4"/>
    <w:rsid w:val="002F0395"/>
    <w:rsid w:val="002F0B53"/>
    <w:rsid w:val="002F29C8"/>
    <w:rsid w:val="002F35CC"/>
    <w:rsid w:val="002F6009"/>
    <w:rsid w:val="002F64A4"/>
    <w:rsid w:val="002F675C"/>
    <w:rsid w:val="002F6B98"/>
    <w:rsid w:val="002F790B"/>
    <w:rsid w:val="002F7F89"/>
    <w:rsid w:val="0030228D"/>
    <w:rsid w:val="00302E05"/>
    <w:rsid w:val="003030CD"/>
    <w:rsid w:val="003030E9"/>
    <w:rsid w:val="0030312A"/>
    <w:rsid w:val="00303B84"/>
    <w:rsid w:val="00304127"/>
    <w:rsid w:val="00304DE6"/>
    <w:rsid w:val="0030525D"/>
    <w:rsid w:val="00306134"/>
    <w:rsid w:val="00307F39"/>
    <w:rsid w:val="0031047C"/>
    <w:rsid w:val="00310CE2"/>
    <w:rsid w:val="003114E8"/>
    <w:rsid w:val="00311D9B"/>
    <w:rsid w:val="00315293"/>
    <w:rsid w:val="00315C1E"/>
    <w:rsid w:val="00316A5A"/>
    <w:rsid w:val="00316CC1"/>
    <w:rsid w:val="0032037F"/>
    <w:rsid w:val="00322543"/>
    <w:rsid w:val="00322A6D"/>
    <w:rsid w:val="00323FCD"/>
    <w:rsid w:val="00324A7F"/>
    <w:rsid w:val="00325B18"/>
    <w:rsid w:val="003266BA"/>
    <w:rsid w:val="003268FB"/>
    <w:rsid w:val="00326D20"/>
    <w:rsid w:val="00327F46"/>
    <w:rsid w:val="00330678"/>
    <w:rsid w:val="003315C3"/>
    <w:rsid w:val="003325DC"/>
    <w:rsid w:val="003332D1"/>
    <w:rsid w:val="00334F70"/>
    <w:rsid w:val="0033539E"/>
    <w:rsid w:val="00335E7F"/>
    <w:rsid w:val="0033762E"/>
    <w:rsid w:val="003403B1"/>
    <w:rsid w:val="003409E5"/>
    <w:rsid w:val="00342599"/>
    <w:rsid w:val="003427AF"/>
    <w:rsid w:val="0034310C"/>
    <w:rsid w:val="00343230"/>
    <w:rsid w:val="0034330A"/>
    <w:rsid w:val="003435C3"/>
    <w:rsid w:val="00344468"/>
    <w:rsid w:val="00344AAD"/>
    <w:rsid w:val="003463A2"/>
    <w:rsid w:val="0034653F"/>
    <w:rsid w:val="00346BB1"/>
    <w:rsid w:val="00346F56"/>
    <w:rsid w:val="00347CC6"/>
    <w:rsid w:val="00350F78"/>
    <w:rsid w:val="00352527"/>
    <w:rsid w:val="00353FEF"/>
    <w:rsid w:val="003548E2"/>
    <w:rsid w:val="00354990"/>
    <w:rsid w:val="00355576"/>
    <w:rsid w:val="003561CB"/>
    <w:rsid w:val="00360498"/>
    <w:rsid w:val="00362EC3"/>
    <w:rsid w:val="003632AB"/>
    <w:rsid w:val="003634E5"/>
    <w:rsid w:val="00364C41"/>
    <w:rsid w:val="00366130"/>
    <w:rsid w:val="0036658B"/>
    <w:rsid w:val="00366C73"/>
    <w:rsid w:val="00367A33"/>
    <w:rsid w:val="00370239"/>
    <w:rsid w:val="00370455"/>
    <w:rsid w:val="00370BC0"/>
    <w:rsid w:val="0037224C"/>
    <w:rsid w:val="003729D1"/>
    <w:rsid w:val="00372ADA"/>
    <w:rsid w:val="003750D6"/>
    <w:rsid w:val="00376593"/>
    <w:rsid w:val="00377B57"/>
    <w:rsid w:val="00380010"/>
    <w:rsid w:val="0038017B"/>
    <w:rsid w:val="00380E09"/>
    <w:rsid w:val="003812AE"/>
    <w:rsid w:val="00382635"/>
    <w:rsid w:val="0038304A"/>
    <w:rsid w:val="00383377"/>
    <w:rsid w:val="00383A09"/>
    <w:rsid w:val="00383D30"/>
    <w:rsid w:val="0038421F"/>
    <w:rsid w:val="003842C9"/>
    <w:rsid w:val="00384815"/>
    <w:rsid w:val="00384C0C"/>
    <w:rsid w:val="003861DA"/>
    <w:rsid w:val="0038630A"/>
    <w:rsid w:val="00386F97"/>
    <w:rsid w:val="003908AE"/>
    <w:rsid w:val="00390D1D"/>
    <w:rsid w:val="00390E9E"/>
    <w:rsid w:val="00390F35"/>
    <w:rsid w:val="00391DAD"/>
    <w:rsid w:val="003924DD"/>
    <w:rsid w:val="00393D78"/>
    <w:rsid w:val="00396E97"/>
    <w:rsid w:val="00397600"/>
    <w:rsid w:val="003A0447"/>
    <w:rsid w:val="003A05BD"/>
    <w:rsid w:val="003A1B0C"/>
    <w:rsid w:val="003A1CBA"/>
    <w:rsid w:val="003A1EE2"/>
    <w:rsid w:val="003A318B"/>
    <w:rsid w:val="003A3BBB"/>
    <w:rsid w:val="003A3D40"/>
    <w:rsid w:val="003A4F2E"/>
    <w:rsid w:val="003A53A3"/>
    <w:rsid w:val="003A6613"/>
    <w:rsid w:val="003A7886"/>
    <w:rsid w:val="003B0CB0"/>
    <w:rsid w:val="003B121B"/>
    <w:rsid w:val="003B1D47"/>
    <w:rsid w:val="003B4AF4"/>
    <w:rsid w:val="003B4B8B"/>
    <w:rsid w:val="003B5BBE"/>
    <w:rsid w:val="003B5E48"/>
    <w:rsid w:val="003B5E9B"/>
    <w:rsid w:val="003C072C"/>
    <w:rsid w:val="003C2925"/>
    <w:rsid w:val="003C39BF"/>
    <w:rsid w:val="003C3A1C"/>
    <w:rsid w:val="003C3D66"/>
    <w:rsid w:val="003C4888"/>
    <w:rsid w:val="003C52DA"/>
    <w:rsid w:val="003C6738"/>
    <w:rsid w:val="003C6891"/>
    <w:rsid w:val="003C69ED"/>
    <w:rsid w:val="003C7265"/>
    <w:rsid w:val="003D154F"/>
    <w:rsid w:val="003D211D"/>
    <w:rsid w:val="003D25D1"/>
    <w:rsid w:val="003D2EBB"/>
    <w:rsid w:val="003D44B3"/>
    <w:rsid w:val="003D58E8"/>
    <w:rsid w:val="003D5F95"/>
    <w:rsid w:val="003D7837"/>
    <w:rsid w:val="003E01D8"/>
    <w:rsid w:val="003E04A9"/>
    <w:rsid w:val="003E11AF"/>
    <w:rsid w:val="003E19B8"/>
    <w:rsid w:val="003E1AC1"/>
    <w:rsid w:val="003E1C8D"/>
    <w:rsid w:val="003E228A"/>
    <w:rsid w:val="003E2787"/>
    <w:rsid w:val="003E3B71"/>
    <w:rsid w:val="003E44D0"/>
    <w:rsid w:val="003E612E"/>
    <w:rsid w:val="003E6F46"/>
    <w:rsid w:val="003E6FD0"/>
    <w:rsid w:val="003E7055"/>
    <w:rsid w:val="003E7268"/>
    <w:rsid w:val="003E7301"/>
    <w:rsid w:val="003F0423"/>
    <w:rsid w:val="003F1F4A"/>
    <w:rsid w:val="003F217E"/>
    <w:rsid w:val="003F25B7"/>
    <w:rsid w:val="003F2E4D"/>
    <w:rsid w:val="003F3253"/>
    <w:rsid w:val="003F3904"/>
    <w:rsid w:val="003F3B8B"/>
    <w:rsid w:val="003F3FF3"/>
    <w:rsid w:val="003F5188"/>
    <w:rsid w:val="003F527E"/>
    <w:rsid w:val="003F5C15"/>
    <w:rsid w:val="003F5CE8"/>
    <w:rsid w:val="003F6514"/>
    <w:rsid w:val="003F6613"/>
    <w:rsid w:val="003F6640"/>
    <w:rsid w:val="003F6803"/>
    <w:rsid w:val="003F74E3"/>
    <w:rsid w:val="003F7535"/>
    <w:rsid w:val="004009F9"/>
    <w:rsid w:val="00400B42"/>
    <w:rsid w:val="0040122F"/>
    <w:rsid w:val="00401F7D"/>
    <w:rsid w:val="00402193"/>
    <w:rsid w:val="0040394D"/>
    <w:rsid w:val="00403BFA"/>
    <w:rsid w:val="004047F2"/>
    <w:rsid w:val="004107EB"/>
    <w:rsid w:val="004110E2"/>
    <w:rsid w:val="00413B55"/>
    <w:rsid w:val="00414374"/>
    <w:rsid w:val="004164C0"/>
    <w:rsid w:val="00416DB2"/>
    <w:rsid w:val="00416F7C"/>
    <w:rsid w:val="00417EE3"/>
    <w:rsid w:val="004204B3"/>
    <w:rsid w:val="00421216"/>
    <w:rsid w:val="0042171F"/>
    <w:rsid w:val="00421C02"/>
    <w:rsid w:val="00421CC4"/>
    <w:rsid w:val="0042451F"/>
    <w:rsid w:val="00424933"/>
    <w:rsid w:val="00425DD4"/>
    <w:rsid w:val="00425FFA"/>
    <w:rsid w:val="004268B3"/>
    <w:rsid w:val="00426925"/>
    <w:rsid w:val="00426F88"/>
    <w:rsid w:val="0042766D"/>
    <w:rsid w:val="004304DD"/>
    <w:rsid w:val="00430881"/>
    <w:rsid w:val="00430D53"/>
    <w:rsid w:val="00431713"/>
    <w:rsid w:val="004320A5"/>
    <w:rsid w:val="0043217D"/>
    <w:rsid w:val="004321CF"/>
    <w:rsid w:val="00433676"/>
    <w:rsid w:val="00433D5C"/>
    <w:rsid w:val="00434B01"/>
    <w:rsid w:val="00435083"/>
    <w:rsid w:val="00435554"/>
    <w:rsid w:val="0043745B"/>
    <w:rsid w:val="0044022A"/>
    <w:rsid w:val="00441544"/>
    <w:rsid w:val="004428A1"/>
    <w:rsid w:val="00443CA6"/>
    <w:rsid w:val="004441BB"/>
    <w:rsid w:val="0044437E"/>
    <w:rsid w:val="004460B2"/>
    <w:rsid w:val="00446837"/>
    <w:rsid w:val="00446D71"/>
    <w:rsid w:val="00447006"/>
    <w:rsid w:val="00447DD6"/>
    <w:rsid w:val="00450579"/>
    <w:rsid w:val="004512B2"/>
    <w:rsid w:val="00451368"/>
    <w:rsid w:val="00451752"/>
    <w:rsid w:val="004517A0"/>
    <w:rsid w:val="004528D8"/>
    <w:rsid w:val="00453B67"/>
    <w:rsid w:val="00454EEC"/>
    <w:rsid w:val="00455082"/>
    <w:rsid w:val="004565C1"/>
    <w:rsid w:val="004568CA"/>
    <w:rsid w:val="004570D9"/>
    <w:rsid w:val="00460992"/>
    <w:rsid w:val="00460FD7"/>
    <w:rsid w:val="004628B1"/>
    <w:rsid w:val="0046364C"/>
    <w:rsid w:val="004636E0"/>
    <w:rsid w:val="00464C32"/>
    <w:rsid w:val="00466466"/>
    <w:rsid w:val="00466AF3"/>
    <w:rsid w:val="00466EFE"/>
    <w:rsid w:val="0046764D"/>
    <w:rsid w:val="00467CCC"/>
    <w:rsid w:val="00470B61"/>
    <w:rsid w:val="00471E5A"/>
    <w:rsid w:val="00471E9B"/>
    <w:rsid w:val="00472716"/>
    <w:rsid w:val="004758CC"/>
    <w:rsid w:val="004763D9"/>
    <w:rsid w:val="00476C5F"/>
    <w:rsid w:val="004771AE"/>
    <w:rsid w:val="00480C5A"/>
    <w:rsid w:val="0048340D"/>
    <w:rsid w:val="00484BD6"/>
    <w:rsid w:val="00484E39"/>
    <w:rsid w:val="00485881"/>
    <w:rsid w:val="004873CD"/>
    <w:rsid w:val="0048759A"/>
    <w:rsid w:val="00487FA4"/>
    <w:rsid w:val="00490DD7"/>
    <w:rsid w:val="0049216E"/>
    <w:rsid w:val="004923CB"/>
    <w:rsid w:val="0049328A"/>
    <w:rsid w:val="00493355"/>
    <w:rsid w:val="00493455"/>
    <w:rsid w:val="0049402E"/>
    <w:rsid w:val="00494467"/>
    <w:rsid w:val="004947AA"/>
    <w:rsid w:val="00495F29"/>
    <w:rsid w:val="00496249"/>
    <w:rsid w:val="00496324"/>
    <w:rsid w:val="00496394"/>
    <w:rsid w:val="00496DBF"/>
    <w:rsid w:val="004A0532"/>
    <w:rsid w:val="004A08B0"/>
    <w:rsid w:val="004A1C47"/>
    <w:rsid w:val="004A26DB"/>
    <w:rsid w:val="004A2D81"/>
    <w:rsid w:val="004A3399"/>
    <w:rsid w:val="004A33F5"/>
    <w:rsid w:val="004A34C1"/>
    <w:rsid w:val="004A4432"/>
    <w:rsid w:val="004A4EC9"/>
    <w:rsid w:val="004A50D6"/>
    <w:rsid w:val="004A5BC3"/>
    <w:rsid w:val="004A7E3F"/>
    <w:rsid w:val="004B1629"/>
    <w:rsid w:val="004B1CE5"/>
    <w:rsid w:val="004B6712"/>
    <w:rsid w:val="004B6792"/>
    <w:rsid w:val="004B6DD3"/>
    <w:rsid w:val="004C110D"/>
    <w:rsid w:val="004C247D"/>
    <w:rsid w:val="004C290D"/>
    <w:rsid w:val="004C337D"/>
    <w:rsid w:val="004C41DF"/>
    <w:rsid w:val="004C4BC0"/>
    <w:rsid w:val="004C60D2"/>
    <w:rsid w:val="004C690D"/>
    <w:rsid w:val="004C6C64"/>
    <w:rsid w:val="004C6F33"/>
    <w:rsid w:val="004C790F"/>
    <w:rsid w:val="004D1FA6"/>
    <w:rsid w:val="004D1FE5"/>
    <w:rsid w:val="004D2093"/>
    <w:rsid w:val="004D2A70"/>
    <w:rsid w:val="004D33CE"/>
    <w:rsid w:val="004D3433"/>
    <w:rsid w:val="004D370A"/>
    <w:rsid w:val="004D4FA2"/>
    <w:rsid w:val="004D7927"/>
    <w:rsid w:val="004E06E4"/>
    <w:rsid w:val="004E1FB6"/>
    <w:rsid w:val="004E3F4E"/>
    <w:rsid w:val="004E4A4D"/>
    <w:rsid w:val="004E5097"/>
    <w:rsid w:val="004E6692"/>
    <w:rsid w:val="004E7662"/>
    <w:rsid w:val="004E7C1C"/>
    <w:rsid w:val="004F0444"/>
    <w:rsid w:val="004F07AD"/>
    <w:rsid w:val="004F088A"/>
    <w:rsid w:val="004F0938"/>
    <w:rsid w:val="004F1533"/>
    <w:rsid w:val="004F2085"/>
    <w:rsid w:val="004F2738"/>
    <w:rsid w:val="004F2BCA"/>
    <w:rsid w:val="004F2E9C"/>
    <w:rsid w:val="004F4FE9"/>
    <w:rsid w:val="004F6389"/>
    <w:rsid w:val="004F6A20"/>
    <w:rsid w:val="004F75DD"/>
    <w:rsid w:val="004F77E5"/>
    <w:rsid w:val="004F7D20"/>
    <w:rsid w:val="00501D9B"/>
    <w:rsid w:val="005020F8"/>
    <w:rsid w:val="005029F0"/>
    <w:rsid w:val="00502C3E"/>
    <w:rsid w:val="005033EB"/>
    <w:rsid w:val="00503CCD"/>
    <w:rsid w:val="00505669"/>
    <w:rsid w:val="00505E06"/>
    <w:rsid w:val="00506DAF"/>
    <w:rsid w:val="0050765A"/>
    <w:rsid w:val="00507A57"/>
    <w:rsid w:val="00507E28"/>
    <w:rsid w:val="00507E4E"/>
    <w:rsid w:val="00510CAB"/>
    <w:rsid w:val="005112B0"/>
    <w:rsid w:val="005114D9"/>
    <w:rsid w:val="00511719"/>
    <w:rsid w:val="005117B8"/>
    <w:rsid w:val="005119A9"/>
    <w:rsid w:val="005128F7"/>
    <w:rsid w:val="0051296F"/>
    <w:rsid w:val="00512AA3"/>
    <w:rsid w:val="005131A8"/>
    <w:rsid w:val="00513AFF"/>
    <w:rsid w:val="00513B41"/>
    <w:rsid w:val="005148C2"/>
    <w:rsid w:val="00514F88"/>
    <w:rsid w:val="00515892"/>
    <w:rsid w:val="005159B3"/>
    <w:rsid w:val="0051654D"/>
    <w:rsid w:val="0051659C"/>
    <w:rsid w:val="00516DAE"/>
    <w:rsid w:val="00520CA1"/>
    <w:rsid w:val="005217D2"/>
    <w:rsid w:val="005222B9"/>
    <w:rsid w:val="00522657"/>
    <w:rsid w:val="00522926"/>
    <w:rsid w:val="0052314A"/>
    <w:rsid w:val="005231AD"/>
    <w:rsid w:val="005238EB"/>
    <w:rsid w:val="00524C0B"/>
    <w:rsid w:val="00524E6E"/>
    <w:rsid w:val="005277FE"/>
    <w:rsid w:val="0053000B"/>
    <w:rsid w:val="0053027C"/>
    <w:rsid w:val="005304A5"/>
    <w:rsid w:val="005304F0"/>
    <w:rsid w:val="005311AF"/>
    <w:rsid w:val="005318A6"/>
    <w:rsid w:val="0053266E"/>
    <w:rsid w:val="00532A8E"/>
    <w:rsid w:val="00532C05"/>
    <w:rsid w:val="00533B3E"/>
    <w:rsid w:val="00534A74"/>
    <w:rsid w:val="00534FB0"/>
    <w:rsid w:val="00535FCD"/>
    <w:rsid w:val="0053718D"/>
    <w:rsid w:val="00541BFD"/>
    <w:rsid w:val="005420BA"/>
    <w:rsid w:val="005428E2"/>
    <w:rsid w:val="005430B6"/>
    <w:rsid w:val="00545BF2"/>
    <w:rsid w:val="00552044"/>
    <w:rsid w:val="00552BEA"/>
    <w:rsid w:val="00552F7F"/>
    <w:rsid w:val="0055414B"/>
    <w:rsid w:val="0055463E"/>
    <w:rsid w:val="00554AE7"/>
    <w:rsid w:val="00554DC5"/>
    <w:rsid w:val="00555E72"/>
    <w:rsid w:val="00556548"/>
    <w:rsid w:val="005566CF"/>
    <w:rsid w:val="00557CE9"/>
    <w:rsid w:val="00557F1D"/>
    <w:rsid w:val="00560234"/>
    <w:rsid w:val="0056247C"/>
    <w:rsid w:val="00562797"/>
    <w:rsid w:val="00564881"/>
    <w:rsid w:val="00564AAC"/>
    <w:rsid w:val="0056556F"/>
    <w:rsid w:val="005669A2"/>
    <w:rsid w:val="00566A8F"/>
    <w:rsid w:val="00566AA9"/>
    <w:rsid w:val="005676E4"/>
    <w:rsid w:val="00571985"/>
    <w:rsid w:val="005732A6"/>
    <w:rsid w:val="00574211"/>
    <w:rsid w:val="005742AB"/>
    <w:rsid w:val="00575154"/>
    <w:rsid w:val="005754A3"/>
    <w:rsid w:val="005769E9"/>
    <w:rsid w:val="005770D2"/>
    <w:rsid w:val="00577925"/>
    <w:rsid w:val="00580499"/>
    <w:rsid w:val="005805BE"/>
    <w:rsid w:val="005805DE"/>
    <w:rsid w:val="00581BB1"/>
    <w:rsid w:val="005828BB"/>
    <w:rsid w:val="0058364E"/>
    <w:rsid w:val="005841A2"/>
    <w:rsid w:val="00584215"/>
    <w:rsid w:val="00584745"/>
    <w:rsid w:val="00584C92"/>
    <w:rsid w:val="0058522E"/>
    <w:rsid w:val="00585A34"/>
    <w:rsid w:val="00585C53"/>
    <w:rsid w:val="005861C4"/>
    <w:rsid w:val="00586617"/>
    <w:rsid w:val="005870DB"/>
    <w:rsid w:val="005924AD"/>
    <w:rsid w:val="005926E2"/>
    <w:rsid w:val="00592AF8"/>
    <w:rsid w:val="00593E0B"/>
    <w:rsid w:val="0059444B"/>
    <w:rsid w:val="00595581"/>
    <w:rsid w:val="005960EC"/>
    <w:rsid w:val="00596F8A"/>
    <w:rsid w:val="005A0946"/>
    <w:rsid w:val="005A0ED6"/>
    <w:rsid w:val="005A1977"/>
    <w:rsid w:val="005A26CF"/>
    <w:rsid w:val="005A28E8"/>
    <w:rsid w:val="005A2D2B"/>
    <w:rsid w:val="005A3B5C"/>
    <w:rsid w:val="005A4430"/>
    <w:rsid w:val="005A4752"/>
    <w:rsid w:val="005A69F6"/>
    <w:rsid w:val="005A786F"/>
    <w:rsid w:val="005A7F8D"/>
    <w:rsid w:val="005B06E8"/>
    <w:rsid w:val="005B0BD0"/>
    <w:rsid w:val="005B0CD5"/>
    <w:rsid w:val="005B1E24"/>
    <w:rsid w:val="005B1FA8"/>
    <w:rsid w:val="005B2125"/>
    <w:rsid w:val="005B26A6"/>
    <w:rsid w:val="005B30DC"/>
    <w:rsid w:val="005B4AA1"/>
    <w:rsid w:val="005B5975"/>
    <w:rsid w:val="005B5989"/>
    <w:rsid w:val="005B5C1D"/>
    <w:rsid w:val="005B5F6F"/>
    <w:rsid w:val="005B7193"/>
    <w:rsid w:val="005B7F3C"/>
    <w:rsid w:val="005C0275"/>
    <w:rsid w:val="005C0823"/>
    <w:rsid w:val="005C0C1C"/>
    <w:rsid w:val="005C0E5E"/>
    <w:rsid w:val="005C14AD"/>
    <w:rsid w:val="005C1A71"/>
    <w:rsid w:val="005C2653"/>
    <w:rsid w:val="005C7CFB"/>
    <w:rsid w:val="005D0C77"/>
    <w:rsid w:val="005D11FC"/>
    <w:rsid w:val="005D2007"/>
    <w:rsid w:val="005D24D7"/>
    <w:rsid w:val="005D2C04"/>
    <w:rsid w:val="005D4ED0"/>
    <w:rsid w:val="005D619D"/>
    <w:rsid w:val="005D6F13"/>
    <w:rsid w:val="005D6FDC"/>
    <w:rsid w:val="005D71C6"/>
    <w:rsid w:val="005D72D3"/>
    <w:rsid w:val="005E135A"/>
    <w:rsid w:val="005E29E4"/>
    <w:rsid w:val="005E4801"/>
    <w:rsid w:val="005E5492"/>
    <w:rsid w:val="005E5953"/>
    <w:rsid w:val="005E73C9"/>
    <w:rsid w:val="005E7969"/>
    <w:rsid w:val="005F11B3"/>
    <w:rsid w:val="005F1A10"/>
    <w:rsid w:val="005F1E9B"/>
    <w:rsid w:val="005F365B"/>
    <w:rsid w:val="005F4753"/>
    <w:rsid w:val="005F6EF8"/>
    <w:rsid w:val="00600194"/>
    <w:rsid w:val="00600C1B"/>
    <w:rsid w:val="006019F1"/>
    <w:rsid w:val="006022D2"/>
    <w:rsid w:val="00602D60"/>
    <w:rsid w:val="00604923"/>
    <w:rsid w:val="006054BF"/>
    <w:rsid w:val="0060589A"/>
    <w:rsid w:val="00605B21"/>
    <w:rsid w:val="00606171"/>
    <w:rsid w:val="006077AF"/>
    <w:rsid w:val="00607E7B"/>
    <w:rsid w:val="00610552"/>
    <w:rsid w:val="006108C1"/>
    <w:rsid w:val="006111A8"/>
    <w:rsid w:val="00611F5D"/>
    <w:rsid w:val="0061339E"/>
    <w:rsid w:val="0061372F"/>
    <w:rsid w:val="00616082"/>
    <w:rsid w:val="006175C6"/>
    <w:rsid w:val="0061786F"/>
    <w:rsid w:val="00617A46"/>
    <w:rsid w:val="006202E4"/>
    <w:rsid w:val="0062099D"/>
    <w:rsid w:val="006271A7"/>
    <w:rsid w:val="006275B8"/>
    <w:rsid w:val="006276DA"/>
    <w:rsid w:val="006279A7"/>
    <w:rsid w:val="006300FE"/>
    <w:rsid w:val="00631D07"/>
    <w:rsid w:val="006330A4"/>
    <w:rsid w:val="0063313D"/>
    <w:rsid w:val="006342D7"/>
    <w:rsid w:val="00634A25"/>
    <w:rsid w:val="006353B1"/>
    <w:rsid w:val="00636EC5"/>
    <w:rsid w:val="006402E0"/>
    <w:rsid w:val="00641466"/>
    <w:rsid w:val="00641579"/>
    <w:rsid w:val="00641B14"/>
    <w:rsid w:val="006424D7"/>
    <w:rsid w:val="006430B4"/>
    <w:rsid w:val="00643F86"/>
    <w:rsid w:val="00644323"/>
    <w:rsid w:val="00644661"/>
    <w:rsid w:val="00644946"/>
    <w:rsid w:val="0064565C"/>
    <w:rsid w:val="00645F3B"/>
    <w:rsid w:val="00646448"/>
    <w:rsid w:val="00647554"/>
    <w:rsid w:val="006475F6"/>
    <w:rsid w:val="006503DC"/>
    <w:rsid w:val="00651C8F"/>
    <w:rsid w:val="00652A3A"/>
    <w:rsid w:val="00654EF3"/>
    <w:rsid w:val="00655CB7"/>
    <w:rsid w:val="0065715C"/>
    <w:rsid w:val="00660485"/>
    <w:rsid w:val="0066066A"/>
    <w:rsid w:val="00660A31"/>
    <w:rsid w:val="00661768"/>
    <w:rsid w:val="00662A7C"/>
    <w:rsid w:val="0066317F"/>
    <w:rsid w:val="006634B5"/>
    <w:rsid w:val="006650B1"/>
    <w:rsid w:val="00665351"/>
    <w:rsid w:val="00665834"/>
    <w:rsid w:val="006670CF"/>
    <w:rsid w:val="00667134"/>
    <w:rsid w:val="0067006A"/>
    <w:rsid w:val="00670A67"/>
    <w:rsid w:val="00670F89"/>
    <w:rsid w:val="00673E63"/>
    <w:rsid w:val="006751F7"/>
    <w:rsid w:val="00675BBB"/>
    <w:rsid w:val="00675C20"/>
    <w:rsid w:val="00676690"/>
    <w:rsid w:val="0068029D"/>
    <w:rsid w:val="00680379"/>
    <w:rsid w:val="00680606"/>
    <w:rsid w:val="00680780"/>
    <w:rsid w:val="00681D68"/>
    <w:rsid w:val="00683ADE"/>
    <w:rsid w:val="006841D8"/>
    <w:rsid w:val="006845F9"/>
    <w:rsid w:val="00684C2F"/>
    <w:rsid w:val="00685359"/>
    <w:rsid w:val="006903E5"/>
    <w:rsid w:val="006908EA"/>
    <w:rsid w:val="006910CD"/>
    <w:rsid w:val="00691A2B"/>
    <w:rsid w:val="00692343"/>
    <w:rsid w:val="00692C74"/>
    <w:rsid w:val="00693485"/>
    <w:rsid w:val="006934C5"/>
    <w:rsid w:val="00695B4E"/>
    <w:rsid w:val="0069697D"/>
    <w:rsid w:val="00696E17"/>
    <w:rsid w:val="00697489"/>
    <w:rsid w:val="00697F64"/>
    <w:rsid w:val="00697F6D"/>
    <w:rsid w:val="006A0C15"/>
    <w:rsid w:val="006A18D4"/>
    <w:rsid w:val="006A1B59"/>
    <w:rsid w:val="006A1D35"/>
    <w:rsid w:val="006A1F47"/>
    <w:rsid w:val="006A2B6A"/>
    <w:rsid w:val="006A3560"/>
    <w:rsid w:val="006A4206"/>
    <w:rsid w:val="006A4938"/>
    <w:rsid w:val="006A6353"/>
    <w:rsid w:val="006A6570"/>
    <w:rsid w:val="006A65D3"/>
    <w:rsid w:val="006A7F35"/>
    <w:rsid w:val="006B0081"/>
    <w:rsid w:val="006B189A"/>
    <w:rsid w:val="006B1992"/>
    <w:rsid w:val="006B1AC8"/>
    <w:rsid w:val="006B2672"/>
    <w:rsid w:val="006B332F"/>
    <w:rsid w:val="006B4CF8"/>
    <w:rsid w:val="006B5167"/>
    <w:rsid w:val="006B5FAF"/>
    <w:rsid w:val="006B7222"/>
    <w:rsid w:val="006B793B"/>
    <w:rsid w:val="006B7F93"/>
    <w:rsid w:val="006C0C9D"/>
    <w:rsid w:val="006C10AC"/>
    <w:rsid w:val="006C16B8"/>
    <w:rsid w:val="006C420F"/>
    <w:rsid w:val="006C4421"/>
    <w:rsid w:val="006C4546"/>
    <w:rsid w:val="006C48B6"/>
    <w:rsid w:val="006C48FF"/>
    <w:rsid w:val="006C53D6"/>
    <w:rsid w:val="006C5EA1"/>
    <w:rsid w:val="006C625D"/>
    <w:rsid w:val="006C6541"/>
    <w:rsid w:val="006C6549"/>
    <w:rsid w:val="006D0B4C"/>
    <w:rsid w:val="006D0D59"/>
    <w:rsid w:val="006D202F"/>
    <w:rsid w:val="006D2354"/>
    <w:rsid w:val="006D3436"/>
    <w:rsid w:val="006D378E"/>
    <w:rsid w:val="006D3E68"/>
    <w:rsid w:val="006D3EE8"/>
    <w:rsid w:val="006D446F"/>
    <w:rsid w:val="006D4F05"/>
    <w:rsid w:val="006D6687"/>
    <w:rsid w:val="006D6AFB"/>
    <w:rsid w:val="006D6B4C"/>
    <w:rsid w:val="006D7377"/>
    <w:rsid w:val="006D740E"/>
    <w:rsid w:val="006E2641"/>
    <w:rsid w:val="006E301E"/>
    <w:rsid w:val="006E3E91"/>
    <w:rsid w:val="006E4AC7"/>
    <w:rsid w:val="006E514D"/>
    <w:rsid w:val="006E54B0"/>
    <w:rsid w:val="006E68E5"/>
    <w:rsid w:val="006E6DCE"/>
    <w:rsid w:val="006E720F"/>
    <w:rsid w:val="006E7522"/>
    <w:rsid w:val="006E76C4"/>
    <w:rsid w:val="006E7BE4"/>
    <w:rsid w:val="006E7D1F"/>
    <w:rsid w:val="006E7EC8"/>
    <w:rsid w:val="006F14A6"/>
    <w:rsid w:val="006F1815"/>
    <w:rsid w:val="006F221D"/>
    <w:rsid w:val="006F248C"/>
    <w:rsid w:val="006F2D44"/>
    <w:rsid w:val="006F3398"/>
    <w:rsid w:val="006F45B5"/>
    <w:rsid w:val="006F478B"/>
    <w:rsid w:val="006F4B9F"/>
    <w:rsid w:val="006F6265"/>
    <w:rsid w:val="006F6321"/>
    <w:rsid w:val="006F64D7"/>
    <w:rsid w:val="006F669A"/>
    <w:rsid w:val="006F670A"/>
    <w:rsid w:val="006F7394"/>
    <w:rsid w:val="0070054A"/>
    <w:rsid w:val="00700C8D"/>
    <w:rsid w:val="007017E3"/>
    <w:rsid w:val="00701938"/>
    <w:rsid w:val="00701C6A"/>
    <w:rsid w:val="0070332C"/>
    <w:rsid w:val="007040A2"/>
    <w:rsid w:val="00706268"/>
    <w:rsid w:val="0070650C"/>
    <w:rsid w:val="00707290"/>
    <w:rsid w:val="00707365"/>
    <w:rsid w:val="007119A5"/>
    <w:rsid w:val="00711BD2"/>
    <w:rsid w:val="00711C4A"/>
    <w:rsid w:val="0071289B"/>
    <w:rsid w:val="00712B8C"/>
    <w:rsid w:val="00712F4D"/>
    <w:rsid w:val="00713A67"/>
    <w:rsid w:val="00714382"/>
    <w:rsid w:val="0071466A"/>
    <w:rsid w:val="00714F4E"/>
    <w:rsid w:val="00715069"/>
    <w:rsid w:val="007152EA"/>
    <w:rsid w:val="00715EC2"/>
    <w:rsid w:val="00716CF2"/>
    <w:rsid w:val="00716D5F"/>
    <w:rsid w:val="00716DD0"/>
    <w:rsid w:val="00720128"/>
    <w:rsid w:val="007205E1"/>
    <w:rsid w:val="007220BC"/>
    <w:rsid w:val="0072290B"/>
    <w:rsid w:val="007238D1"/>
    <w:rsid w:val="007238E3"/>
    <w:rsid w:val="00723FAA"/>
    <w:rsid w:val="00724076"/>
    <w:rsid w:val="00724177"/>
    <w:rsid w:val="00725662"/>
    <w:rsid w:val="00726294"/>
    <w:rsid w:val="00726A01"/>
    <w:rsid w:val="007302B2"/>
    <w:rsid w:val="00730375"/>
    <w:rsid w:val="00732084"/>
    <w:rsid w:val="00732186"/>
    <w:rsid w:val="00732BA1"/>
    <w:rsid w:val="00733B19"/>
    <w:rsid w:val="0073404E"/>
    <w:rsid w:val="00734EB9"/>
    <w:rsid w:val="007356E5"/>
    <w:rsid w:val="00741096"/>
    <w:rsid w:val="00741721"/>
    <w:rsid w:val="007421A3"/>
    <w:rsid w:val="00742244"/>
    <w:rsid w:val="00742C6F"/>
    <w:rsid w:val="00743A2E"/>
    <w:rsid w:val="00743CB7"/>
    <w:rsid w:val="00743E4E"/>
    <w:rsid w:val="00744FB2"/>
    <w:rsid w:val="00746CDF"/>
    <w:rsid w:val="00746F01"/>
    <w:rsid w:val="007502E7"/>
    <w:rsid w:val="00750903"/>
    <w:rsid w:val="0075120A"/>
    <w:rsid w:val="00751890"/>
    <w:rsid w:val="00751E9D"/>
    <w:rsid w:val="00752232"/>
    <w:rsid w:val="00752B19"/>
    <w:rsid w:val="007531BE"/>
    <w:rsid w:val="00754D88"/>
    <w:rsid w:val="007553FC"/>
    <w:rsid w:val="0075612D"/>
    <w:rsid w:val="007561A0"/>
    <w:rsid w:val="00757D85"/>
    <w:rsid w:val="00757FE6"/>
    <w:rsid w:val="007608F2"/>
    <w:rsid w:val="00763279"/>
    <w:rsid w:val="007632B4"/>
    <w:rsid w:val="00763853"/>
    <w:rsid w:val="00764783"/>
    <w:rsid w:val="00764FE6"/>
    <w:rsid w:val="00765EE4"/>
    <w:rsid w:val="00766C7E"/>
    <w:rsid w:val="00766CC6"/>
    <w:rsid w:val="00767FDC"/>
    <w:rsid w:val="00770136"/>
    <w:rsid w:val="0077015C"/>
    <w:rsid w:val="00770A7D"/>
    <w:rsid w:val="0077158C"/>
    <w:rsid w:val="007717E5"/>
    <w:rsid w:val="00771E98"/>
    <w:rsid w:val="00775661"/>
    <w:rsid w:val="007758CA"/>
    <w:rsid w:val="00775DAE"/>
    <w:rsid w:val="00775E17"/>
    <w:rsid w:val="00776684"/>
    <w:rsid w:val="00776CEC"/>
    <w:rsid w:val="00776F2A"/>
    <w:rsid w:val="00780C43"/>
    <w:rsid w:val="00781A61"/>
    <w:rsid w:val="00783446"/>
    <w:rsid w:val="00783FEF"/>
    <w:rsid w:val="007842CD"/>
    <w:rsid w:val="00786297"/>
    <w:rsid w:val="00786B00"/>
    <w:rsid w:val="00786C3F"/>
    <w:rsid w:val="0078756E"/>
    <w:rsid w:val="0078767E"/>
    <w:rsid w:val="00787B86"/>
    <w:rsid w:val="007900DB"/>
    <w:rsid w:val="0079048E"/>
    <w:rsid w:val="007904B7"/>
    <w:rsid w:val="00790500"/>
    <w:rsid w:val="007917C0"/>
    <w:rsid w:val="0079222A"/>
    <w:rsid w:val="00792889"/>
    <w:rsid w:val="00792C10"/>
    <w:rsid w:val="00792FCA"/>
    <w:rsid w:val="00794A5E"/>
    <w:rsid w:val="00794CE1"/>
    <w:rsid w:val="00796067"/>
    <w:rsid w:val="0079658B"/>
    <w:rsid w:val="00797603"/>
    <w:rsid w:val="00797AD7"/>
    <w:rsid w:val="007A0088"/>
    <w:rsid w:val="007A025F"/>
    <w:rsid w:val="007A1215"/>
    <w:rsid w:val="007A29A4"/>
    <w:rsid w:val="007A320A"/>
    <w:rsid w:val="007A336F"/>
    <w:rsid w:val="007A3639"/>
    <w:rsid w:val="007A3D5B"/>
    <w:rsid w:val="007A3EC3"/>
    <w:rsid w:val="007A4EDD"/>
    <w:rsid w:val="007A6818"/>
    <w:rsid w:val="007A7A06"/>
    <w:rsid w:val="007B057A"/>
    <w:rsid w:val="007B0772"/>
    <w:rsid w:val="007B07AE"/>
    <w:rsid w:val="007B0A1B"/>
    <w:rsid w:val="007B0CD5"/>
    <w:rsid w:val="007B1332"/>
    <w:rsid w:val="007B147B"/>
    <w:rsid w:val="007B4527"/>
    <w:rsid w:val="007B4753"/>
    <w:rsid w:val="007B4B93"/>
    <w:rsid w:val="007B5267"/>
    <w:rsid w:val="007B535A"/>
    <w:rsid w:val="007B559C"/>
    <w:rsid w:val="007B5C7E"/>
    <w:rsid w:val="007B6619"/>
    <w:rsid w:val="007C01DA"/>
    <w:rsid w:val="007C0C39"/>
    <w:rsid w:val="007C17C8"/>
    <w:rsid w:val="007C1F90"/>
    <w:rsid w:val="007C2E2D"/>
    <w:rsid w:val="007C31D8"/>
    <w:rsid w:val="007C4AC4"/>
    <w:rsid w:val="007C51D8"/>
    <w:rsid w:val="007C52D4"/>
    <w:rsid w:val="007C556E"/>
    <w:rsid w:val="007C5791"/>
    <w:rsid w:val="007C5849"/>
    <w:rsid w:val="007C5D03"/>
    <w:rsid w:val="007C60FD"/>
    <w:rsid w:val="007C6162"/>
    <w:rsid w:val="007C79DC"/>
    <w:rsid w:val="007C7BFD"/>
    <w:rsid w:val="007D02DF"/>
    <w:rsid w:val="007D0AD3"/>
    <w:rsid w:val="007D3313"/>
    <w:rsid w:val="007D482A"/>
    <w:rsid w:val="007D4CC3"/>
    <w:rsid w:val="007D5C6F"/>
    <w:rsid w:val="007D62EF"/>
    <w:rsid w:val="007D6386"/>
    <w:rsid w:val="007D6E8F"/>
    <w:rsid w:val="007D79E9"/>
    <w:rsid w:val="007E033B"/>
    <w:rsid w:val="007E0BF9"/>
    <w:rsid w:val="007E113F"/>
    <w:rsid w:val="007E3007"/>
    <w:rsid w:val="007E3EA1"/>
    <w:rsid w:val="007E5149"/>
    <w:rsid w:val="007E5552"/>
    <w:rsid w:val="007E5E42"/>
    <w:rsid w:val="007E6020"/>
    <w:rsid w:val="007E6907"/>
    <w:rsid w:val="007E7CF6"/>
    <w:rsid w:val="007F012F"/>
    <w:rsid w:val="007F055C"/>
    <w:rsid w:val="007F06DA"/>
    <w:rsid w:val="007F0A66"/>
    <w:rsid w:val="007F1212"/>
    <w:rsid w:val="007F1938"/>
    <w:rsid w:val="007F1BCB"/>
    <w:rsid w:val="007F1DC6"/>
    <w:rsid w:val="007F2A9B"/>
    <w:rsid w:val="007F43FE"/>
    <w:rsid w:val="007F4C7D"/>
    <w:rsid w:val="007F4DD6"/>
    <w:rsid w:val="007F546F"/>
    <w:rsid w:val="007F57C4"/>
    <w:rsid w:val="007F5C90"/>
    <w:rsid w:val="007F7724"/>
    <w:rsid w:val="007F7CFC"/>
    <w:rsid w:val="008000D0"/>
    <w:rsid w:val="00801A55"/>
    <w:rsid w:val="00802492"/>
    <w:rsid w:val="008049D4"/>
    <w:rsid w:val="00806813"/>
    <w:rsid w:val="0081017F"/>
    <w:rsid w:val="00810721"/>
    <w:rsid w:val="00810839"/>
    <w:rsid w:val="00810C28"/>
    <w:rsid w:val="00811E2A"/>
    <w:rsid w:val="00812492"/>
    <w:rsid w:val="008125AD"/>
    <w:rsid w:val="008127F2"/>
    <w:rsid w:val="00813099"/>
    <w:rsid w:val="00814034"/>
    <w:rsid w:val="00814DCF"/>
    <w:rsid w:val="00814FF4"/>
    <w:rsid w:val="00815682"/>
    <w:rsid w:val="0081648B"/>
    <w:rsid w:val="008164CA"/>
    <w:rsid w:val="008169CC"/>
    <w:rsid w:val="008172EC"/>
    <w:rsid w:val="0082031D"/>
    <w:rsid w:val="00820456"/>
    <w:rsid w:val="008209C8"/>
    <w:rsid w:val="00821013"/>
    <w:rsid w:val="008210AC"/>
    <w:rsid w:val="00821847"/>
    <w:rsid w:val="00821B8D"/>
    <w:rsid w:val="00823963"/>
    <w:rsid w:val="00823D91"/>
    <w:rsid w:val="00823F0B"/>
    <w:rsid w:val="00824879"/>
    <w:rsid w:val="0082495B"/>
    <w:rsid w:val="008255FF"/>
    <w:rsid w:val="0082583E"/>
    <w:rsid w:val="00825A6C"/>
    <w:rsid w:val="0082645A"/>
    <w:rsid w:val="00827513"/>
    <w:rsid w:val="00827FD3"/>
    <w:rsid w:val="00830CDB"/>
    <w:rsid w:val="00830F81"/>
    <w:rsid w:val="00830F8C"/>
    <w:rsid w:val="00833D5D"/>
    <w:rsid w:val="00834304"/>
    <w:rsid w:val="00834AF9"/>
    <w:rsid w:val="00834B3D"/>
    <w:rsid w:val="008351DC"/>
    <w:rsid w:val="00835C3C"/>
    <w:rsid w:val="00836184"/>
    <w:rsid w:val="0083693C"/>
    <w:rsid w:val="008370D0"/>
    <w:rsid w:val="00840DC3"/>
    <w:rsid w:val="008411C0"/>
    <w:rsid w:val="00841D41"/>
    <w:rsid w:val="00846F70"/>
    <w:rsid w:val="008473E4"/>
    <w:rsid w:val="00850AFB"/>
    <w:rsid w:val="008531B0"/>
    <w:rsid w:val="00854352"/>
    <w:rsid w:val="00855AD9"/>
    <w:rsid w:val="008564E6"/>
    <w:rsid w:val="00856B8A"/>
    <w:rsid w:val="00857DF0"/>
    <w:rsid w:val="008607D0"/>
    <w:rsid w:val="00862E2C"/>
    <w:rsid w:val="00862EA5"/>
    <w:rsid w:val="00864314"/>
    <w:rsid w:val="00864777"/>
    <w:rsid w:val="00865715"/>
    <w:rsid w:val="0086627B"/>
    <w:rsid w:val="00867915"/>
    <w:rsid w:val="00871859"/>
    <w:rsid w:val="008720EB"/>
    <w:rsid w:val="008723EB"/>
    <w:rsid w:val="00872CCD"/>
    <w:rsid w:val="00872EA2"/>
    <w:rsid w:val="008736C8"/>
    <w:rsid w:val="008755D7"/>
    <w:rsid w:val="0087695E"/>
    <w:rsid w:val="0087732C"/>
    <w:rsid w:val="00877C3A"/>
    <w:rsid w:val="00881565"/>
    <w:rsid w:val="00881954"/>
    <w:rsid w:val="00881B3B"/>
    <w:rsid w:val="00881FC8"/>
    <w:rsid w:val="00882863"/>
    <w:rsid w:val="00883EF5"/>
    <w:rsid w:val="008847DA"/>
    <w:rsid w:val="00884A4B"/>
    <w:rsid w:val="008852C6"/>
    <w:rsid w:val="0088598E"/>
    <w:rsid w:val="008866A5"/>
    <w:rsid w:val="0089000D"/>
    <w:rsid w:val="008903A7"/>
    <w:rsid w:val="008912A7"/>
    <w:rsid w:val="008917A4"/>
    <w:rsid w:val="008925B6"/>
    <w:rsid w:val="00892AA1"/>
    <w:rsid w:val="00892F2B"/>
    <w:rsid w:val="00893047"/>
    <w:rsid w:val="008936A5"/>
    <w:rsid w:val="008947F2"/>
    <w:rsid w:val="00894B9A"/>
    <w:rsid w:val="00895D86"/>
    <w:rsid w:val="0089689B"/>
    <w:rsid w:val="00897652"/>
    <w:rsid w:val="008A0682"/>
    <w:rsid w:val="008A0923"/>
    <w:rsid w:val="008A1003"/>
    <w:rsid w:val="008A1770"/>
    <w:rsid w:val="008A17E7"/>
    <w:rsid w:val="008A1FC5"/>
    <w:rsid w:val="008A21D7"/>
    <w:rsid w:val="008A2AB1"/>
    <w:rsid w:val="008A345C"/>
    <w:rsid w:val="008A3967"/>
    <w:rsid w:val="008A44E5"/>
    <w:rsid w:val="008A4FF8"/>
    <w:rsid w:val="008A50A5"/>
    <w:rsid w:val="008A6A97"/>
    <w:rsid w:val="008A6B64"/>
    <w:rsid w:val="008A710B"/>
    <w:rsid w:val="008A71BA"/>
    <w:rsid w:val="008A728A"/>
    <w:rsid w:val="008A7991"/>
    <w:rsid w:val="008A7A6E"/>
    <w:rsid w:val="008B01BE"/>
    <w:rsid w:val="008B0CC1"/>
    <w:rsid w:val="008B1903"/>
    <w:rsid w:val="008B1986"/>
    <w:rsid w:val="008B1D89"/>
    <w:rsid w:val="008B2AEA"/>
    <w:rsid w:val="008B2FF8"/>
    <w:rsid w:val="008B33AC"/>
    <w:rsid w:val="008B51B9"/>
    <w:rsid w:val="008B60DD"/>
    <w:rsid w:val="008B6316"/>
    <w:rsid w:val="008B64FE"/>
    <w:rsid w:val="008B65BA"/>
    <w:rsid w:val="008C0512"/>
    <w:rsid w:val="008C14A7"/>
    <w:rsid w:val="008C2BA4"/>
    <w:rsid w:val="008C39B5"/>
    <w:rsid w:val="008C3E95"/>
    <w:rsid w:val="008C3EAF"/>
    <w:rsid w:val="008C5CCA"/>
    <w:rsid w:val="008C5E31"/>
    <w:rsid w:val="008C673C"/>
    <w:rsid w:val="008C7C0B"/>
    <w:rsid w:val="008D0037"/>
    <w:rsid w:val="008D030A"/>
    <w:rsid w:val="008D0E0C"/>
    <w:rsid w:val="008D15EB"/>
    <w:rsid w:val="008D1820"/>
    <w:rsid w:val="008D1ECA"/>
    <w:rsid w:val="008D2E35"/>
    <w:rsid w:val="008D38EF"/>
    <w:rsid w:val="008D43D9"/>
    <w:rsid w:val="008D502C"/>
    <w:rsid w:val="008D51CD"/>
    <w:rsid w:val="008D5C11"/>
    <w:rsid w:val="008D6177"/>
    <w:rsid w:val="008D6502"/>
    <w:rsid w:val="008D6CE1"/>
    <w:rsid w:val="008D6F44"/>
    <w:rsid w:val="008E02F5"/>
    <w:rsid w:val="008E0F65"/>
    <w:rsid w:val="008E0FBE"/>
    <w:rsid w:val="008E144C"/>
    <w:rsid w:val="008E1EDB"/>
    <w:rsid w:val="008E28A4"/>
    <w:rsid w:val="008E4167"/>
    <w:rsid w:val="008E476C"/>
    <w:rsid w:val="008E4E2B"/>
    <w:rsid w:val="008E6A72"/>
    <w:rsid w:val="008E6E97"/>
    <w:rsid w:val="008E7B8D"/>
    <w:rsid w:val="008F0628"/>
    <w:rsid w:val="008F0F91"/>
    <w:rsid w:val="008F1E76"/>
    <w:rsid w:val="008F206B"/>
    <w:rsid w:val="008F2141"/>
    <w:rsid w:val="008F36E5"/>
    <w:rsid w:val="008F5CAC"/>
    <w:rsid w:val="008F60DA"/>
    <w:rsid w:val="008F64D6"/>
    <w:rsid w:val="008F7321"/>
    <w:rsid w:val="009001E7"/>
    <w:rsid w:val="00900849"/>
    <w:rsid w:val="009017D5"/>
    <w:rsid w:val="00901A0A"/>
    <w:rsid w:val="00901AB2"/>
    <w:rsid w:val="00901E2B"/>
    <w:rsid w:val="00903A4D"/>
    <w:rsid w:val="00904092"/>
    <w:rsid w:val="0090409A"/>
    <w:rsid w:val="009040F4"/>
    <w:rsid w:val="00905C14"/>
    <w:rsid w:val="00906A1D"/>
    <w:rsid w:val="00907C92"/>
    <w:rsid w:val="00910C21"/>
    <w:rsid w:val="00913626"/>
    <w:rsid w:val="0091672E"/>
    <w:rsid w:val="00917B80"/>
    <w:rsid w:val="00917C7E"/>
    <w:rsid w:val="00922383"/>
    <w:rsid w:val="009230F6"/>
    <w:rsid w:val="0092312E"/>
    <w:rsid w:val="009244DC"/>
    <w:rsid w:val="00924517"/>
    <w:rsid w:val="009246D3"/>
    <w:rsid w:val="00924F34"/>
    <w:rsid w:val="00925CD2"/>
    <w:rsid w:val="00926123"/>
    <w:rsid w:val="00926D90"/>
    <w:rsid w:val="00927F78"/>
    <w:rsid w:val="0093023B"/>
    <w:rsid w:val="00931D44"/>
    <w:rsid w:val="009328C8"/>
    <w:rsid w:val="00932953"/>
    <w:rsid w:val="0093644F"/>
    <w:rsid w:val="00937A58"/>
    <w:rsid w:val="00937E0F"/>
    <w:rsid w:val="00937E2C"/>
    <w:rsid w:val="009416DD"/>
    <w:rsid w:val="00941EB7"/>
    <w:rsid w:val="009420BC"/>
    <w:rsid w:val="0094380E"/>
    <w:rsid w:val="00944E97"/>
    <w:rsid w:val="00945334"/>
    <w:rsid w:val="00946BBC"/>
    <w:rsid w:val="00947234"/>
    <w:rsid w:val="00947243"/>
    <w:rsid w:val="009478C5"/>
    <w:rsid w:val="009515D0"/>
    <w:rsid w:val="0095162B"/>
    <w:rsid w:val="00952B84"/>
    <w:rsid w:val="009565BB"/>
    <w:rsid w:val="00956A94"/>
    <w:rsid w:val="00956C78"/>
    <w:rsid w:val="00956C94"/>
    <w:rsid w:val="00960198"/>
    <w:rsid w:val="009601CE"/>
    <w:rsid w:val="00960951"/>
    <w:rsid w:val="0096112B"/>
    <w:rsid w:val="0096116E"/>
    <w:rsid w:val="009616C6"/>
    <w:rsid w:val="00962B31"/>
    <w:rsid w:val="00967D4C"/>
    <w:rsid w:val="00973A6E"/>
    <w:rsid w:val="00974AB5"/>
    <w:rsid w:val="00974C12"/>
    <w:rsid w:val="00976644"/>
    <w:rsid w:val="009766C5"/>
    <w:rsid w:val="00977237"/>
    <w:rsid w:val="00980457"/>
    <w:rsid w:val="009804D6"/>
    <w:rsid w:val="00980CAB"/>
    <w:rsid w:val="009836B1"/>
    <w:rsid w:val="009840BA"/>
    <w:rsid w:val="00984F2A"/>
    <w:rsid w:val="009855AB"/>
    <w:rsid w:val="00986982"/>
    <w:rsid w:val="00987530"/>
    <w:rsid w:val="00990C93"/>
    <w:rsid w:val="00991D1B"/>
    <w:rsid w:val="0099277B"/>
    <w:rsid w:val="00993C96"/>
    <w:rsid w:val="00993F5D"/>
    <w:rsid w:val="00995F44"/>
    <w:rsid w:val="009960CC"/>
    <w:rsid w:val="009A0B9E"/>
    <w:rsid w:val="009A168B"/>
    <w:rsid w:val="009A2578"/>
    <w:rsid w:val="009A2653"/>
    <w:rsid w:val="009A2AC4"/>
    <w:rsid w:val="009A3A59"/>
    <w:rsid w:val="009A4011"/>
    <w:rsid w:val="009A4225"/>
    <w:rsid w:val="009A6668"/>
    <w:rsid w:val="009A6BD3"/>
    <w:rsid w:val="009A6DC6"/>
    <w:rsid w:val="009A7846"/>
    <w:rsid w:val="009B3253"/>
    <w:rsid w:val="009B35DE"/>
    <w:rsid w:val="009B3B58"/>
    <w:rsid w:val="009B41F5"/>
    <w:rsid w:val="009B47F4"/>
    <w:rsid w:val="009B59C6"/>
    <w:rsid w:val="009B689A"/>
    <w:rsid w:val="009B700B"/>
    <w:rsid w:val="009B7109"/>
    <w:rsid w:val="009B7531"/>
    <w:rsid w:val="009B7C73"/>
    <w:rsid w:val="009B7DC4"/>
    <w:rsid w:val="009C0439"/>
    <w:rsid w:val="009C1C95"/>
    <w:rsid w:val="009C2BD0"/>
    <w:rsid w:val="009C3331"/>
    <w:rsid w:val="009C363D"/>
    <w:rsid w:val="009C37A8"/>
    <w:rsid w:val="009C3EFE"/>
    <w:rsid w:val="009C5ED2"/>
    <w:rsid w:val="009D05A9"/>
    <w:rsid w:val="009D07D5"/>
    <w:rsid w:val="009D3886"/>
    <w:rsid w:val="009D3CC3"/>
    <w:rsid w:val="009D5D92"/>
    <w:rsid w:val="009D616A"/>
    <w:rsid w:val="009D6173"/>
    <w:rsid w:val="009D6E2B"/>
    <w:rsid w:val="009D6E74"/>
    <w:rsid w:val="009D7798"/>
    <w:rsid w:val="009D7DA7"/>
    <w:rsid w:val="009E213D"/>
    <w:rsid w:val="009E2A13"/>
    <w:rsid w:val="009E335B"/>
    <w:rsid w:val="009E3C4E"/>
    <w:rsid w:val="009E5525"/>
    <w:rsid w:val="009E5A45"/>
    <w:rsid w:val="009E69FA"/>
    <w:rsid w:val="009E6CE8"/>
    <w:rsid w:val="009F2728"/>
    <w:rsid w:val="009F5217"/>
    <w:rsid w:val="009F5A0A"/>
    <w:rsid w:val="009F615A"/>
    <w:rsid w:val="009F69F5"/>
    <w:rsid w:val="009F6CC1"/>
    <w:rsid w:val="00A007CA"/>
    <w:rsid w:val="00A00D95"/>
    <w:rsid w:val="00A01C5C"/>
    <w:rsid w:val="00A021CE"/>
    <w:rsid w:val="00A02547"/>
    <w:rsid w:val="00A02DA3"/>
    <w:rsid w:val="00A031DC"/>
    <w:rsid w:val="00A04130"/>
    <w:rsid w:val="00A043ED"/>
    <w:rsid w:val="00A05739"/>
    <w:rsid w:val="00A060BB"/>
    <w:rsid w:val="00A06835"/>
    <w:rsid w:val="00A07299"/>
    <w:rsid w:val="00A1161A"/>
    <w:rsid w:val="00A1185D"/>
    <w:rsid w:val="00A11A72"/>
    <w:rsid w:val="00A11AAD"/>
    <w:rsid w:val="00A11CCE"/>
    <w:rsid w:val="00A13C5D"/>
    <w:rsid w:val="00A142B7"/>
    <w:rsid w:val="00A14808"/>
    <w:rsid w:val="00A148A8"/>
    <w:rsid w:val="00A15462"/>
    <w:rsid w:val="00A16178"/>
    <w:rsid w:val="00A1688A"/>
    <w:rsid w:val="00A17984"/>
    <w:rsid w:val="00A20D52"/>
    <w:rsid w:val="00A20FDD"/>
    <w:rsid w:val="00A21187"/>
    <w:rsid w:val="00A21685"/>
    <w:rsid w:val="00A21CA1"/>
    <w:rsid w:val="00A21CFF"/>
    <w:rsid w:val="00A22510"/>
    <w:rsid w:val="00A22940"/>
    <w:rsid w:val="00A22D37"/>
    <w:rsid w:val="00A24482"/>
    <w:rsid w:val="00A24F9B"/>
    <w:rsid w:val="00A25A1B"/>
    <w:rsid w:val="00A27999"/>
    <w:rsid w:val="00A3048B"/>
    <w:rsid w:val="00A311A9"/>
    <w:rsid w:val="00A31740"/>
    <w:rsid w:val="00A324B0"/>
    <w:rsid w:val="00A32E79"/>
    <w:rsid w:val="00A33C28"/>
    <w:rsid w:val="00A36F96"/>
    <w:rsid w:val="00A36FF9"/>
    <w:rsid w:val="00A40CC3"/>
    <w:rsid w:val="00A42849"/>
    <w:rsid w:val="00A4296C"/>
    <w:rsid w:val="00A42BF2"/>
    <w:rsid w:val="00A42C21"/>
    <w:rsid w:val="00A45DD9"/>
    <w:rsid w:val="00A4792C"/>
    <w:rsid w:val="00A479B2"/>
    <w:rsid w:val="00A50177"/>
    <w:rsid w:val="00A50B2E"/>
    <w:rsid w:val="00A518C3"/>
    <w:rsid w:val="00A53E97"/>
    <w:rsid w:val="00A5414B"/>
    <w:rsid w:val="00A5759D"/>
    <w:rsid w:val="00A6045E"/>
    <w:rsid w:val="00A61F71"/>
    <w:rsid w:val="00A628A4"/>
    <w:rsid w:val="00A66BDE"/>
    <w:rsid w:val="00A67000"/>
    <w:rsid w:val="00A705A0"/>
    <w:rsid w:val="00A70D44"/>
    <w:rsid w:val="00A7205C"/>
    <w:rsid w:val="00A734F7"/>
    <w:rsid w:val="00A7434F"/>
    <w:rsid w:val="00A75E5D"/>
    <w:rsid w:val="00A7600C"/>
    <w:rsid w:val="00A761F3"/>
    <w:rsid w:val="00A8067C"/>
    <w:rsid w:val="00A80F00"/>
    <w:rsid w:val="00A8183B"/>
    <w:rsid w:val="00A84482"/>
    <w:rsid w:val="00A84729"/>
    <w:rsid w:val="00A848AC"/>
    <w:rsid w:val="00A84C43"/>
    <w:rsid w:val="00A84E60"/>
    <w:rsid w:val="00A8568A"/>
    <w:rsid w:val="00A86921"/>
    <w:rsid w:val="00A86EEB"/>
    <w:rsid w:val="00A87C14"/>
    <w:rsid w:val="00A90DC1"/>
    <w:rsid w:val="00A90F18"/>
    <w:rsid w:val="00A92590"/>
    <w:rsid w:val="00A925E1"/>
    <w:rsid w:val="00A92722"/>
    <w:rsid w:val="00A92A0A"/>
    <w:rsid w:val="00A92A46"/>
    <w:rsid w:val="00A9375F"/>
    <w:rsid w:val="00A938F8"/>
    <w:rsid w:val="00A93C55"/>
    <w:rsid w:val="00A943C6"/>
    <w:rsid w:val="00A9549C"/>
    <w:rsid w:val="00A955E4"/>
    <w:rsid w:val="00A9579E"/>
    <w:rsid w:val="00A95BF4"/>
    <w:rsid w:val="00AA06C3"/>
    <w:rsid w:val="00AA1384"/>
    <w:rsid w:val="00AA1AFD"/>
    <w:rsid w:val="00AA1C25"/>
    <w:rsid w:val="00AA1FC7"/>
    <w:rsid w:val="00AA304E"/>
    <w:rsid w:val="00AA5CC7"/>
    <w:rsid w:val="00AA605F"/>
    <w:rsid w:val="00AA6C98"/>
    <w:rsid w:val="00AA6DBC"/>
    <w:rsid w:val="00AA6E4B"/>
    <w:rsid w:val="00AA7F10"/>
    <w:rsid w:val="00AB0B51"/>
    <w:rsid w:val="00AB0E6F"/>
    <w:rsid w:val="00AB1C58"/>
    <w:rsid w:val="00AB21DF"/>
    <w:rsid w:val="00AB2A2D"/>
    <w:rsid w:val="00AB420C"/>
    <w:rsid w:val="00AB4C34"/>
    <w:rsid w:val="00AB52A1"/>
    <w:rsid w:val="00AB71ED"/>
    <w:rsid w:val="00AB733B"/>
    <w:rsid w:val="00AC26AC"/>
    <w:rsid w:val="00AC2727"/>
    <w:rsid w:val="00AC4C43"/>
    <w:rsid w:val="00AC4E16"/>
    <w:rsid w:val="00AC5B2A"/>
    <w:rsid w:val="00AC65EC"/>
    <w:rsid w:val="00AC6C37"/>
    <w:rsid w:val="00AC79AC"/>
    <w:rsid w:val="00AD178E"/>
    <w:rsid w:val="00AD2C1D"/>
    <w:rsid w:val="00AD3493"/>
    <w:rsid w:val="00AD4497"/>
    <w:rsid w:val="00AD49EB"/>
    <w:rsid w:val="00AD4AC4"/>
    <w:rsid w:val="00AD6C1E"/>
    <w:rsid w:val="00AE1000"/>
    <w:rsid w:val="00AE19C3"/>
    <w:rsid w:val="00AE2345"/>
    <w:rsid w:val="00AE2E75"/>
    <w:rsid w:val="00AE350C"/>
    <w:rsid w:val="00AE391B"/>
    <w:rsid w:val="00AE4599"/>
    <w:rsid w:val="00AE5711"/>
    <w:rsid w:val="00AE5953"/>
    <w:rsid w:val="00AE6127"/>
    <w:rsid w:val="00AE6D91"/>
    <w:rsid w:val="00AE7495"/>
    <w:rsid w:val="00AE774F"/>
    <w:rsid w:val="00AF0147"/>
    <w:rsid w:val="00AF02E9"/>
    <w:rsid w:val="00AF0C3B"/>
    <w:rsid w:val="00AF0E23"/>
    <w:rsid w:val="00AF1975"/>
    <w:rsid w:val="00AF19B3"/>
    <w:rsid w:val="00AF1F54"/>
    <w:rsid w:val="00AF22F9"/>
    <w:rsid w:val="00AF2CA7"/>
    <w:rsid w:val="00AF2EFF"/>
    <w:rsid w:val="00AF3D50"/>
    <w:rsid w:val="00AF4D58"/>
    <w:rsid w:val="00AF51A2"/>
    <w:rsid w:val="00AF562C"/>
    <w:rsid w:val="00AF7092"/>
    <w:rsid w:val="00AF75DF"/>
    <w:rsid w:val="00B0002C"/>
    <w:rsid w:val="00B003AD"/>
    <w:rsid w:val="00B00C42"/>
    <w:rsid w:val="00B011BD"/>
    <w:rsid w:val="00B0134E"/>
    <w:rsid w:val="00B019DC"/>
    <w:rsid w:val="00B028A2"/>
    <w:rsid w:val="00B04D1A"/>
    <w:rsid w:val="00B06374"/>
    <w:rsid w:val="00B0637A"/>
    <w:rsid w:val="00B0736C"/>
    <w:rsid w:val="00B0783D"/>
    <w:rsid w:val="00B07F64"/>
    <w:rsid w:val="00B1129D"/>
    <w:rsid w:val="00B11D31"/>
    <w:rsid w:val="00B121DE"/>
    <w:rsid w:val="00B12C4A"/>
    <w:rsid w:val="00B15329"/>
    <w:rsid w:val="00B1557A"/>
    <w:rsid w:val="00B16A11"/>
    <w:rsid w:val="00B16ECF"/>
    <w:rsid w:val="00B178BC"/>
    <w:rsid w:val="00B17D82"/>
    <w:rsid w:val="00B203AB"/>
    <w:rsid w:val="00B20A3F"/>
    <w:rsid w:val="00B21F58"/>
    <w:rsid w:val="00B22E95"/>
    <w:rsid w:val="00B23A1F"/>
    <w:rsid w:val="00B24735"/>
    <w:rsid w:val="00B26743"/>
    <w:rsid w:val="00B27B6A"/>
    <w:rsid w:val="00B307AC"/>
    <w:rsid w:val="00B31189"/>
    <w:rsid w:val="00B32A79"/>
    <w:rsid w:val="00B32D73"/>
    <w:rsid w:val="00B3374D"/>
    <w:rsid w:val="00B33B26"/>
    <w:rsid w:val="00B3794E"/>
    <w:rsid w:val="00B37C84"/>
    <w:rsid w:val="00B40747"/>
    <w:rsid w:val="00B410A5"/>
    <w:rsid w:val="00B41832"/>
    <w:rsid w:val="00B425E9"/>
    <w:rsid w:val="00B426E3"/>
    <w:rsid w:val="00B42857"/>
    <w:rsid w:val="00B4341E"/>
    <w:rsid w:val="00B43F35"/>
    <w:rsid w:val="00B44494"/>
    <w:rsid w:val="00B44B5D"/>
    <w:rsid w:val="00B46507"/>
    <w:rsid w:val="00B46CF0"/>
    <w:rsid w:val="00B47221"/>
    <w:rsid w:val="00B47898"/>
    <w:rsid w:val="00B47A06"/>
    <w:rsid w:val="00B50071"/>
    <w:rsid w:val="00B504A4"/>
    <w:rsid w:val="00B52345"/>
    <w:rsid w:val="00B52DED"/>
    <w:rsid w:val="00B53093"/>
    <w:rsid w:val="00B53C6A"/>
    <w:rsid w:val="00B54F57"/>
    <w:rsid w:val="00B551AA"/>
    <w:rsid w:val="00B551D5"/>
    <w:rsid w:val="00B55B17"/>
    <w:rsid w:val="00B5637F"/>
    <w:rsid w:val="00B60203"/>
    <w:rsid w:val="00B60B84"/>
    <w:rsid w:val="00B61316"/>
    <w:rsid w:val="00B66E85"/>
    <w:rsid w:val="00B6704B"/>
    <w:rsid w:val="00B67BF8"/>
    <w:rsid w:val="00B726D9"/>
    <w:rsid w:val="00B73188"/>
    <w:rsid w:val="00B7355C"/>
    <w:rsid w:val="00B739E5"/>
    <w:rsid w:val="00B74414"/>
    <w:rsid w:val="00B74548"/>
    <w:rsid w:val="00B75374"/>
    <w:rsid w:val="00B75CB3"/>
    <w:rsid w:val="00B75DD7"/>
    <w:rsid w:val="00B7654C"/>
    <w:rsid w:val="00B76CCA"/>
    <w:rsid w:val="00B770B0"/>
    <w:rsid w:val="00B809F7"/>
    <w:rsid w:val="00B82218"/>
    <w:rsid w:val="00B82B09"/>
    <w:rsid w:val="00B82E4F"/>
    <w:rsid w:val="00B83463"/>
    <w:rsid w:val="00B836FC"/>
    <w:rsid w:val="00B83725"/>
    <w:rsid w:val="00B83927"/>
    <w:rsid w:val="00B84A04"/>
    <w:rsid w:val="00B853B0"/>
    <w:rsid w:val="00B8567B"/>
    <w:rsid w:val="00B858CC"/>
    <w:rsid w:val="00B85946"/>
    <w:rsid w:val="00B859D1"/>
    <w:rsid w:val="00B864E3"/>
    <w:rsid w:val="00B86F17"/>
    <w:rsid w:val="00B90643"/>
    <w:rsid w:val="00B90E37"/>
    <w:rsid w:val="00B91793"/>
    <w:rsid w:val="00B92BC7"/>
    <w:rsid w:val="00B9383F"/>
    <w:rsid w:val="00B94691"/>
    <w:rsid w:val="00B94843"/>
    <w:rsid w:val="00B94EB2"/>
    <w:rsid w:val="00B96D26"/>
    <w:rsid w:val="00B9793E"/>
    <w:rsid w:val="00B9795A"/>
    <w:rsid w:val="00B97C2C"/>
    <w:rsid w:val="00B97D52"/>
    <w:rsid w:val="00B97DE9"/>
    <w:rsid w:val="00BA300F"/>
    <w:rsid w:val="00BA3A4D"/>
    <w:rsid w:val="00BA3D0D"/>
    <w:rsid w:val="00BA42B5"/>
    <w:rsid w:val="00BA5748"/>
    <w:rsid w:val="00BA5A01"/>
    <w:rsid w:val="00BA6C32"/>
    <w:rsid w:val="00BB01CF"/>
    <w:rsid w:val="00BB05C0"/>
    <w:rsid w:val="00BB1609"/>
    <w:rsid w:val="00BB18E8"/>
    <w:rsid w:val="00BB1C87"/>
    <w:rsid w:val="00BB1F15"/>
    <w:rsid w:val="00BB2AD8"/>
    <w:rsid w:val="00BB2BC0"/>
    <w:rsid w:val="00BB3184"/>
    <w:rsid w:val="00BB5542"/>
    <w:rsid w:val="00BB5731"/>
    <w:rsid w:val="00BB76C4"/>
    <w:rsid w:val="00BB791A"/>
    <w:rsid w:val="00BC132A"/>
    <w:rsid w:val="00BC24CC"/>
    <w:rsid w:val="00BC254E"/>
    <w:rsid w:val="00BC3893"/>
    <w:rsid w:val="00BC4C11"/>
    <w:rsid w:val="00BC4ECD"/>
    <w:rsid w:val="00BC547C"/>
    <w:rsid w:val="00BC5F7F"/>
    <w:rsid w:val="00BC72E5"/>
    <w:rsid w:val="00BD138A"/>
    <w:rsid w:val="00BD2D66"/>
    <w:rsid w:val="00BD41BE"/>
    <w:rsid w:val="00BD4C2D"/>
    <w:rsid w:val="00BD4DC0"/>
    <w:rsid w:val="00BD51DE"/>
    <w:rsid w:val="00BD64B7"/>
    <w:rsid w:val="00BD73B4"/>
    <w:rsid w:val="00BE00C5"/>
    <w:rsid w:val="00BE0B2A"/>
    <w:rsid w:val="00BE0E6F"/>
    <w:rsid w:val="00BE1053"/>
    <w:rsid w:val="00BE1162"/>
    <w:rsid w:val="00BE1904"/>
    <w:rsid w:val="00BE1EFE"/>
    <w:rsid w:val="00BE2029"/>
    <w:rsid w:val="00BE3E92"/>
    <w:rsid w:val="00BE3FAE"/>
    <w:rsid w:val="00BE46AC"/>
    <w:rsid w:val="00BE51CA"/>
    <w:rsid w:val="00BE640A"/>
    <w:rsid w:val="00BE66FD"/>
    <w:rsid w:val="00BE7EB5"/>
    <w:rsid w:val="00BF0A3B"/>
    <w:rsid w:val="00BF0E18"/>
    <w:rsid w:val="00BF110F"/>
    <w:rsid w:val="00BF1BA1"/>
    <w:rsid w:val="00BF1EF3"/>
    <w:rsid w:val="00BF2459"/>
    <w:rsid w:val="00BF2E67"/>
    <w:rsid w:val="00BF3314"/>
    <w:rsid w:val="00BF5058"/>
    <w:rsid w:val="00BF654E"/>
    <w:rsid w:val="00BF7271"/>
    <w:rsid w:val="00BF7522"/>
    <w:rsid w:val="00BF7B05"/>
    <w:rsid w:val="00BF7D4B"/>
    <w:rsid w:val="00C002D5"/>
    <w:rsid w:val="00C01764"/>
    <w:rsid w:val="00C01DBA"/>
    <w:rsid w:val="00C01F4C"/>
    <w:rsid w:val="00C02047"/>
    <w:rsid w:val="00C02681"/>
    <w:rsid w:val="00C02F5A"/>
    <w:rsid w:val="00C038B6"/>
    <w:rsid w:val="00C03945"/>
    <w:rsid w:val="00C03BBB"/>
    <w:rsid w:val="00C04D6F"/>
    <w:rsid w:val="00C05943"/>
    <w:rsid w:val="00C06A58"/>
    <w:rsid w:val="00C0760E"/>
    <w:rsid w:val="00C07747"/>
    <w:rsid w:val="00C1312A"/>
    <w:rsid w:val="00C1319C"/>
    <w:rsid w:val="00C137D5"/>
    <w:rsid w:val="00C1526C"/>
    <w:rsid w:val="00C16873"/>
    <w:rsid w:val="00C17310"/>
    <w:rsid w:val="00C20513"/>
    <w:rsid w:val="00C20A0B"/>
    <w:rsid w:val="00C22F2E"/>
    <w:rsid w:val="00C2422A"/>
    <w:rsid w:val="00C24662"/>
    <w:rsid w:val="00C24F75"/>
    <w:rsid w:val="00C25058"/>
    <w:rsid w:val="00C257B2"/>
    <w:rsid w:val="00C25DE4"/>
    <w:rsid w:val="00C27BA8"/>
    <w:rsid w:val="00C3067B"/>
    <w:rsid w:val="00C3088A"/>
    <w:rsid w:val="00C31039"/>
    <w:rsid w:val="00C313BF"/>
    <w:rsid w:val="00C323AB"/>
    <w:rsid w:val="00C32E78"/>
    <w:rsid w:val="00C3455E"/>
    <w:rsid w:val="00C34683"/>
    <w:rsid w:val="00C34E72"/>
    <w:rsid w:val="00C34F92"/>
    <w:rsid w:val="00C35375"/>
    <w:rsid w:val="00C35B9C"/>
    <w:rsid w:val="00C373C3"/>
    <w:rsid w:val="00C41693"/>
    <w:rsid w:val="00C41EB2"/>
    <w:rsid w:val="00C4271C"/>
    <w:rsid w:val="00C43C6D"/>
    <w:rsid w:val="00C43D99"/>
    <w:rsid w:val="00C446DE"/>
    <w:rsid w:val="00C44E73"/>
    <w:rsid w:val="00C4567A"/>
    <w:rsid w:val="00C4638B"/>
    <w:rsid w:val="00C465B5"/>
    <w:rsid w:val="00C46740"/>
    <w:rsid w:val="00C503F4"/>
    <w:rsid w:val="00C51742"/>
    <w:rsid w:val="00C519AC"/>
    <w:rsid w:val="00C52721"/>
    <w:rsid w:val="00C52FD2"/>
    <w:rsid w:val="00C53A30"/>
    <w:rsid w:val="00C54E10"/>
    <w:rsid w:val="00C55FEF"/>
    <w:rsid w:val="00C56157"/>
    <w:rsid w:val="00C57449"/>
    <w:rsid w:val="00C60989"/>
    <w:rsid w:val="00C60FF7"/>
    <w:rsid w:val="00C63134"/>
    <w:rsid w:val="00C6364C"/>
    <w:rsid w:val="00C6380E"/>
    <w:rsid w:val="00C63EFF"/>
    <w:rsid w:val="00C65834"/>
    <w:rsid w:val="00C66501"/>
    <w:rsid w:val="00C66B8A"/>
    <w:rsid w:val="00C67523"/>
    <w:rsid w:val="00C67C5A"/>
    <w:rsid w:val="00C712A1"/>
    <w:rsid w:val="00C714F7"/>
    <w:rsid w:val="00C71AEA"/>
    <w:rsid w:val="00C72022"/>
    <w:rsid w:val="00C7208C"/>
    <w:rsid w:val="00C7274D"/>
    <w:rsid w:val="00C735B9"/>
    <w:rsid w:val="00C73F32"/>
    <w:rsid w:val="00C74A66"/>
    <w:rsid w:val="00C74D76"/>
    <w:rsid w:val="00C75D33"/>
    <w:rsid w:val="00C77163"/>
    <w:rsid w:val="00C7738F"/>
    <w:rsid w:val="00C774C4"/>
    <w:rsid w:val="00C77E98"/>
    <w:rsid w:val="00C8040F"/>
    <w:rsid w:val="00C8091E"/>
    <w:rsid w:val="00C809C9"/>
    <w:rsid w:val="00C8190F"/>
    <w:rsid w:val="00C81D48"/>
    <w:rsid w:val="00C824B1"/>
    <w:rsid w:val="00C84C78"/>
    <w:rsid w:val="00C85159"/>
    <w:rsid w:val="00C853D4"/>
    <w:rsid w:val="00C85838"/>
    <w:rsid w:val="00C863B2"/>
    <w:rsid w:val="00C87A25"/>
    <w:rsid w:val="00C87A4E"/>
    <w:rsid w:val="00C90317"/>
    <w:rsid w:val="00C90573"/>
    <w:rsid w:val="00C90605"/>
    <w:rsid w:val="00C90DE5"/>
    <w:rsid w:val="00C91167"/>
    <w:rsid w:val="00C91229"/>
    <w:rsid w:val="00C91A28"/>
    <w:rsid w:val="00C9264E"/>
    <w:rsid w:val="00C92C26"/>
    <w:rsid w:val="00C94909"/>
    <w:rsid w:val="00C94DC3"/>
    <w:rsid w:val="00C96329"/>
    <w:rsid w:val="00C96BFF"/>
    <w:rsid w:val="00C97D05"/>
    <w:rsid w:val="00C97E4A"/>
    <w:rsid w:val="00CA0BEE"/>
    <w:rsid w:val="00CA1B73"/>
    <w:rsid w:val="00CA2CF7"/>
    <w:rsid w:val="00CA3487"/>
    <w:rsid w:val="00CA3D45"/>
    <w:rsid w:val="00CA3F4C"/>
    <w:rsid w:val="00CA480B"/>
    <w:rsid w:val="00CA5788"/>
    <w:rsid w:val="00CA6B96"/>
    <w:rsid w:val="00CA6D49"/>
    <w:rsid w:val="00CA764B"/>
    <w:rsid w:val="00CB0229"/>
    <w:rsid w:val="00CB02C7"/>
    <w:rsid w:val="00CB1044"/>
    <w:rsid w:val="00CB1174"/>
    <w:rsid w:val="00CB194A"/>
    <w:rsid w:val="00CB2A7C"/>
    <w:rsid w:val="00CB2B77"/>
    <w:rsid w:val="00CB2C8C"/>
    <w:rsid w:val="00CB3949"/>
    <w:rsid w:val="00CB3C5B"/>
    <w:rsid w:val="00CB44A1"/>
    <w:rsid w:val="00CB4565"/>
    <w:rsid w:val="00CB4EB9"/>
    <w:rsid w:val="00CB50E5"/>
    <w:rsid w:val="00CB5A00"/>
    <w:rsid w:val="00CB6650"/>
    <w:rsid w:val="00CB6C1B"/>
    <w:rsid w:val="00CB7169"/>
    <w:rsid w:val="00CB72A7"/>
    <w:rsid w:val="00CB7EBB"/>
    <w:rsid w:val="00CC2A48"/>
    <w:rsid w:val="00CC2F1F"/>
    <w:rsid w:val="00CC4822"/>
    <w:rsid w:val="00CC56AD"/>
    <w:rsid w:val="00CC6195"/>
    <w:rsid w:val="00CC6982"/>
    <w:rsid w:val="00CC7171"/>
    <w:rsid w:val="00CC75A9"/>
    <w:rsid w:val="00CC7974"/>
    <w:rsid w:val="00CC7E53"/>
    <w:rsid w:val="00CD07B3"/>
    <w:rsid w:val="00CD0EFA"/>
    <w:rsid w:val="00CD3263"/>
    <w:rsid w:val="00CD34B3"/>
    <w:rsid w:val="00CD3D23"/>
    <w:rsid w:val="00CD576A"/>
    <w:rsid w:val="00CD5E4B"/>
    <w:rsid w:val="00CD5F56"/>
    <w:rsid w:val="00CD64BF"/>
    <w:rsid w:val="00CD6D73"/>
    <w:rsid w:val="00CD7673"/>
    <w:rsid w:val="00CD79AA"/>
    <w:rsid w:val="00CD7BCB"/>
    <w:rsid w:val="00CD7C43"/>
    <w:rsid w:val="00CE01EF"/>
    <w:rsid w:val="00CE0588"/>
    <w:rsid w:val="00CE1778"/>
    <w:rsid w:val="00CE1E8B"/>
    <w:rsid w:val="00CE240E"/>
    <w:rsid w:val="00CE2FA1"/>
    <w:rsid w:val="00CE44D9"/>
    <w:rsid w:val="00CE4B11"/>
    <w:rsid w:val="00CE4BAE"/>
    <w:rsid w:val="00CE4DE0"/>
    <w:rsid w:val="00CE6BCC"/>
    <w:rsid w:val="00CF1AB3"/>
    <w:rsid w:val="00CF2417"/>
    <w:rsid w:val="00CF5A37"/>
    <w:rsid w:val="00CF67BC"/>
    <w:rsid w:val="00D012F7"/>
    <w:rsid w:val="00D014B8"/>
    <w:rsid w:val="00D01D10"/>
    <w:rsid w:val="00D03409"/>
    <w:rsid w:val="00D03E16"/>
    <w:rsid w:val="00D04733"/>
    <w:rsid w:val="00D04D5B"/>
    <w:rsid w:val="00D04F45"/>
    <w:rsid w:val="00D05209"/>
    <w:rsid w:val="00D0613B"/>
    <w:rsid w:val="00D06601"/>
    <w:rsid w:val="00D07449"/>
    <w:rsid w:val="00D105A7"/>
    <w:rsid w:val="00D10750"/>
    <w:rsid w:val="00D117D7"/>
    <w:rsid w:val="00D11DEF"/>
    <w:rsid w:val="00D12907"/>
    <w:rsid w:val="00D134DA"/>
    <w:rsid w:val="00D13B2E"/>
    <w:rsid w:val="00D1429D"/>
    <w:rsid w:val="00D146BE"/>
    <w:rsid w:val="00D15C20"/>
    <w:rsid w:val="00D162B6"/>
    <w:rsid w:val="00D21F37"/>
    <w:rsid w:val="00D2298C"/>
    <w:rsid w:val="00D23B49"/>
    <w:rsid w:val="00D2477F"/>
    <w:rsid w:val="00D24C53"/>
    <w:rsid w:val="00D2581C"/>
    <w:rsid w:val="00D26D41"/>
    <w:rsid w:val="00D30163"/>
    <w:rsid w:val="00D31227"/>
    <w:rsid w:val="00D31DDA"/>
    <w:rsid w:val="00D32B50"/>
    <w:rsid w:val="00D32F69"/>
    <w:rsid w:val="00D32FA0"/>
    <w:rsid w:val="00D337F2"/>
    <w:rsid w:val="00D338AC"/>
    <w:rsid w:val="00D33ED6"/>
    <w:rsid w:val="00D343B3"/>
    <w:rsid w:val="00D34D91"/>
    <w:rsid w:val="00D34E5B"/>
    <w:rsid w:val="00D35F96"/>
    <w:rsid w:val="00D36141"/>
    <w:rsid w:val="00D364BA"/>
    <w:rsid w:val="00D36A2E"/>
    <w:rsid w:val="00D36CBB"/>
    <w:rsid w:val="00D40266"/>
    <w:rsid w:val="00D403F5"/>
    <w:rsid w:val="00D41009"/>
    <w:rsid w:val="00D4115C"/>
    <w:rsid w:val="00D413EE"/>
    <w:rsid w:val="00D417ED"/>
    <w:rsid w:val="00D4266D"/>
    <w:rsid w:val="00D43747"/>
    <w:rsid w:val="00D4402A"/>
    <w:rsid w:val="00D44492"/>
    <w:rsid w:val="00D44A31"/>
    <w:rsid w:val="00D46DD9"/>
    <w:rsid w:val="00D47488"/>
    <w:rsid w:val="00D502D8"/>
    <w:rsid w:val="00D5145F"/>
    <w:rsid w:val="00D54332"/>
    <w:rsid w:val="00D54610"/>
    <w:rsid w:val="00D55187"/>
    <w:rsid w:val="00D556F8"/>
    <w:rsid w:val="00D565D4"/>
    <w:rsid w:val="00D56FB5"/>
    <w:rsid w:val="00D577AA"/>
    <w:rsid w:val="00D57F4B"/>
    <w:rsid w:val="00D6099A"/>
    <w:rsid w:val="00D61BDE"/>
    <w:rsid w:val="00D623D8"/>
    <w:rsid w:val="00D62A61"/>
    <w:rsid w:val="00D636F0"/>
    <w:rsid w:val="00D63BC0"/>
    <w:rsid w:val="00D64F8A"/>
    <w:rsid w:val="00D65DC1"/>
    <w:rsid w:val="00D6717F"/>
    <w:rsid w:val="00D702BF"/>
    <w:rsid w:val="00D709D3"/>
    <w:rsid w:val="00D7243F"/>
    <w:rsid w:val="00D726DD"/>
    <w:rsid w:val="00D73675"/>
    <w:rsid w:val="00D74E3F"/>
    <w:rsid w:val="00D76296"/>
    <w:rsid w:val="00D7715B"/>
    <w:rsid w:val="00D777FA"/>
    <w:rsid w:val="00D80AC7"/>
    <w:rsid w:val="00D80C6E"/>
    <w:rsid w:val="00D80CB0"/>
    <w:rsid w:val="00D83348"/>
    <w:rsid w:val="00D853EA"/>
    <w:rsid w:val="00D85781"/>
    <w:rsid w:val="00D864EE"/>
    <w:rsid w:val="00D86CEC"/>
    <w:rsid w:val="00D87230"/>
    <w:rsid w:val="00D87A86"/>
    <w:rsid w:val="00D90507"/>
    <w:rsid w:val="00D923E8"/>
    <w:rsid w:val="00D9400A"/>
    <w:rsid w:val="00D94AE5"/>
    <w:rsid w:val="00D94C52"/>
    <w:rsid w:val="00D9505A"/>
    <w:rsid w:val="00D95705"/>
    <w:rsid w:val="00D95869"/>
    <w:rsid w:val="00D95E60"/>
    <w:rsid w:val="00DA1319"/>
    <w:rsid w:val="00DA319A"/>
    <w:rsid w:val="00DA3EB9"/>
    <w:rsid w:val="00DA4B7A"/>
    <w:rsid w:val="00DA4E20"/>
    <w:rsid w:val="00DA50CE"/>
    <w:rsid w:val="00DA54B6"/>
    <w:rsid w:val="00DA599C"/>
    <w:rsid w:val="00DA7A16"/>
    <w:rsid w:val="00DA7A95"/>
    <w:rsid w:val="00DA7B9A"/>
    <w:rsid w:val="00DB0BA8"/>
    <w:rsid w:val="00DB1085"/>
    <w:rsid w:val="00DB136E"/>
    <w:rsid w:val="00DB1CDA"/>
    <w:rsid w:val="00DB2AB6"/>
    <w:rsid w:val="00DB643E"/>
    <w:rsid w:val="00DB6E16"/>
    <w:rsid w:val="00DB7281"/>
    <w:rsid w:val="00DB7C57"/>
    <w:rsid w:val="00DC000F"/>
    <w:rsid w:val="00DC1399"/>
    <w:rsid w:val="00DC1674"/>
    <w:rsid w:val="00DC1C5A"/>
    <w:rsid w:val="00DC27D7"/>
    <w:rsid w:val="00DC322F"/>
    <w:rsid w:val="00DC6D02"/>
    <w:rsid w:val="00DD010C"/>
    <w:rsid w:val="00DD0357"/>
    <w:rsid w:val="00DD1011"/>
    <w:rsid w:val="00DD1EC1"/>
    <w:rsid w:val="00DD20F2"/>
    <w:rsid w:val="00DD2C32"/>
    <w:rsid w:val="00DD38A7"/>
    <w:rsid w:val="00DD4F87"/>
    <w:rsid w:val="00DD5A29"/>
    <w:rsid w:val="00DD5AD3"/>
    <w:rsid w:val="00DE05AB"/>
    <w:rsid w:val="00DE08F2"/>
    <w:rsid w:val="00DE104A"/>
    <w:rsid w:val="00DE1201"/>
    <w:rsid w:val="00DE1A30"/>
    <w:rsid w:val="00DE234D"/>
    <w:rsid w:val="00DE29BC"/>
    <w:rsid w:val="00DE2B0F"/>
    <w:rsid w:val="00DE2CD1"/>
    <w:rsid w:val="00DE4325"/>
    <w:rsid w:val="00DE4DE2"/>
    <w:rsid w:val="00DE648A"/>
    <w:rsid w:val="00DE7CFF"/>
    <w:rsid w:val="00DE7E10"/>
    <w:rsid w:val="00DE7F88"/>
    <w:rsid w:val="00DF0EF0"/>
    <w:rsid w:val="00DF145C"/>
    <w:rsid w:val="00DF17EB"/>
    <w:rsid w:val="00DF242F"/>
    <w:rsid w:val="00DF257A"/>
    <w:rsid w:val="00DF2A5E"/>
    <w:rsid w:val="00DF3843"/>
    <w:rsid w:val="00DF4411"/>
    <w:rsid w:val="00DF71C2"/>
    <w:rsid w:val="00E00219"/>
    <w:rsid w:val="00E0058D"/>
    <w:rsid w:val="00E005A5"/>
    <w:rsid w:val="00E00E0D"/>
    <w:rsid w:val="00E01353"/>
    <w:rsid w:val="00E01483"/>
    <w:rsid w:val="00E01740"/>
    <w:rsid w:val="00E01C2F"/>
    <w:rsid w:val="00E02A35"/>
    <w:rsid w:val="00E02FA9"/>
    <w:rsid w:val="00E038F4"/>
    <w:rsid w:val="00E043C2"/>
    <w:rsid w:val="00E0590C"/>
    <w:rsid w:val="00E066CC"/>
    <w:rsid w:val="00E10384"/>
    <w:rsid w:val="00E10917"/>
    <w:rsid w:val="00E10C55"/>
    <w:rsid w:val="00E119A1"/>
    <w:rsid w:val="00E11BE8"/>
    <w:rsid w:val="00E12748"/>
    <w:rsid w:val="00E12B1B"/>
    <w:rsid w:val="00E141AB"/>
    <w:rsid w:val="00E1701A"/>
    <w:rsid w:val="00E17394"/>
    <w:rsid w:val="00E179F4"/>
    <w:rsid w:val="00E20209"/>
    <w:rsid w:val="00E20542"/>
    <w:rsid w:val="00E20857"/>
    <w:rsid w:val="00E209F8"/>
    <w:rsid w:val="00E21417"/>
    <w:rsid w:val="00E22D3F"/>
    <w:rsid w:val="00E24E11"/>
    <w:rsid w:val="00E257CE"/>
    <w:rsid w:val="00E259B6"/>
    <w:rsid w:val="00E25B42"/>
    <w:rsid w:val="00E27359"/>
    <w:rsid w:val="00E27569"/>
    <w:rsid w:val="00E276EF"/>
    <w:rsid w:val="00E31B1D"/>
    <w:rsid w:val="00E32710"/>
    <w:rsid w:val="00E32938"/>
    <w:rsid w:val="00E3315D"/>
    <w:rsid w:val="00E34246"/>
    <w:rsid w:val="00E3567C"/>
    <w:rsid w:val="00E37ECC"/>
    <w:rsid w:val="00E37FE5"/>
    <w:rsid w:val="00E40A72"/>
    <w:rsid w:val="00E40A96"/>
    <w:rsid w:val="00E41DAC"/>
    <w:rsid w:val="00E42221"/>
    <w:rsid w:val="00E434F3"/>
    <w:rsid w:val="00E43D93"/>
    <w:rsid w:val="00E43F15"/>
    <w:rsid w:val="00E44E79"/>
    <w:rsid w:val="00E45024"/>
    <w:rsid w:val="00E4565C"/>
    <w:rsid w:val="00E45A91"/>
    <w:rsid w:val="00E464E3"/>
    <w:rsid w:val="00E46676"/>
    <w:rsid w:val="00E545BD"/>
    <w:rsid w:val="00E55412"/>
    <w:rsid w:val="00E55ADB"/>
    <w:rsid w:val="00E56003"/>
    <w:rsid w:val="00E5607D"/>
    <w:rsid w:val="00E56541"/>
    <w:rsid w:val="00E565E9"/>
    <w:rsid w:val="00E603DD"/>
    <w:rsid w:val="00E605BF"/>
    <w:rsid w:val="00E609AB"/>
    <w:rsid w:val="00E609C0"/>
    <w:rsid w:val="00E60CE8"/>
    <w:rsid w:val="00E60F18"/>
    <w:rsid w:val="00E61432"/>
    <w:rsid w:val="00E61CED"/>
    <w:rsid w:val="00E6406A"/>
    <w:rsid w:val="00E64A1A"/>
    <w:rsid w:val="00E65126"/>
    <w:rsid w:val="00E6555D"/>
    <w:rsid w:val="00E6560D"/>
    <w:rsid w:val="00E6583F"/>
    <w:rsid w:val="00E6666A"/>
    <w:rsid w:val="00E67396"/>
    <w:rsid w:val="00E70117"/>
    <w:rsid w:val="00E70D5B"/>
    <w:rsid w:val="00E70F74"/>
    <w:rsid w:val="00E71D53"/>
    <w:rsid w:val="00E73005"/>
    <w:rsid w:val="00E74C98"/>
    <w:rsid w:val="00E75D83"/>
    <w:rsid w:val="00E76B7E"/>
    <w:rsid w:val="00E77F91"/>
    <w:rsid w:val="00E805FB"/>
    <w:rsid w:val="00E81F32"/>
    <w:rsid w:val="00E83FB9"/>
    <w:rsid w:val="00E841AA"/>
    <w:rsid w:val="00E868CD"/>
    <w:rsid w:val="00E86C4E"/>
    <w:rsid w:val="00E86DB0"/>
    <w:rsid w:val="00E87660"/>
    <w:rsid w:val="00E87CDE"/>
    <w:rsid w:val="00E87D18"/>
    <w:rsid w:val="00E90FD5"/>
    <w:rsid w:val="00E91229"/>
    <w:rsid w:val="00E914AB"/>
    <w:rsid w:val="00E91A74"/>
    <w:rsid w:val="00E91A81"/>
    <w:rsid w:val="00E92200"/>
    <w:rsid w:val="00E93422"/>
    <w:rsid w:val="00E9343A"/>
    <w:rsid w:val="00E95AE2"/>
    <w:rsid w:val="00E95D11"/>
    <w:rsid w:val="00E96089"/>
    <w:rsid w:val="00E97B84"/>
    <w:rsid w:val="00EA09DE"/>
    <w:rsid w:val="00EA0D36"/>
    <w:rsid w:val="00EA0D49"/>
    <w:rsid w:val="00EA139C"/>
    <w:rsid w:val="00EA2887"/>
    <w:rsid w:val="00EA2E76"/>
    <w:rsid w:val="00EA45BB"/>
    <w:rsid w:val="00EA4763"/>
    <w:rsid w:val="00EA6F24"/>
    <w:rsid w:val="00EB05B2"/>
    <w:rsid w:val="00EB21C2"/>
    <w:rsid w:val="00EB21F6"/>
    <w:rsid w:val="00EB24F2"/>
    <w:rsid w:val="00EB2D7E"/>
    <w:rsid w:val="00EB3BB2"/>
    <w:rsid w:val="00EB3C63"/>
    <w:rsid w:val="00EB4223"/>
    <w:rsid w:val="00EB49DE"/>
    <w:rsid w:val="00EB4B6E"/>
    <w:rsid w:val="00EB5F9C"/>
    <w:rsid w:val="00EB6CF6"/>
    <w:rsid w:val="00EC3055"/>
    <w:rsid w:val="00EC40C7"/>
    <w:rsid w:val="00EC42D8"/>
    <w:rsid w:val="00EC6108"/>
    <w:rsid w:val="00EC68F0"/>
    <w:rsid w:val="00EC6B89"/>
    <w:rsid w:val="00EC6E3B"/>
    <w:rsid w:val="00EC6E46"/>
    <w:rsid w:val="00EC72F5"/>
    <w:rsid w:val="00EC74EE"/>
    <w:rsid w:val="00EC7936"/>
    <w:rsid w:val="00ED02D4"/>
    <w:rsid w:val="00ED0A45"/>
    <w:rsid w:val="00ED16A1"/>
    <w:rsid w:val="00ED2408"/>
    <w:rsid w:val="00ED2477"/>
    <w:rsid w:val="00ED2BBD"/>
    <w:rsid w:val="00ED3332"/>
    <w:rsid w:val="00ED3DB5"/>
    <w:rsid w:val="00ED3FF8"/>
    <w:rsid w:val="00ED5082"/>
    <w:rsid w:val="00ED68F3"/>
    <w:rsid w:val="00ED6AE8"/>
    <w:rsid w:val="00ED7328"/>
    <w:rsid w:val="00ED7955"/>
    <w:rsid w:val="00EE148D"/>
    <w:rsid w:val="00EE1640"/>
    <w:rsid w:val="00EE16BD"/>
    <w:rsid w:val="00EE1C24"/>
    <w:rsid w:val="00EE21AC"/>
    <w:rsid w:val="00EE4466"/>
    <w:rsid w:val="00EE4868"/>
    <w:rsid w:val="00EE5E01"/>
    <w:rsid w:val="00EE6526"/>
    <w:rsid w:val="00EF00F3"/>
    <w:rsid w:val="00EF01FE"/>
    <w:rsid w:val="00EF03E0"/>
    <w:rsid w:val="00EF05EB"/>
    <w:rsid w:val="00EF0C60"/>
    <w:rsid w:val="00EF20B3"/>
    <w:rsid w:val="00EF342D"/>
    <w:rsid w:val="00EF40A4"/>
    <w:rsid w:val="00EF412C"/>
    <w:rsid w:val="00EF4B5B"/>
    <w:rsid w:val="00EF5FBC"/>
    <w:rsid w:val="00EF6BD9"/>
    <w:rsid w:val="00EF6F71"/>
    <w:rsid w:val="00EF6F9C"/>
    <w:rsid w:val="00EF71D9"/>
    <w:rsid w:val="00F001AE"/>
    <w:rsid w:val="00F00CBE"/>
    <w:rsid w:val="00F00E94"/>
    <w:rsid w:val="00F01B3B"/>
    <w:rsid w:val="00F03782"/>
    <w:rsid w:val="00F039BD"/>
    <w:rsid w:val="00F045D0"/>
    <w:rsid w:val="00F057E7"/>
    <w:rsid w:val="00F06100"/>
    <w:rsid w:val="00F10B2F"/>
    <w:rsid w:val="00F14428"/>
    <w:rsid w:val="00F145DC"/>
    <w:rsid w:val="00F14B86"/>
    <w:rsid w:val="00F1593B"/>
    <w:rsid w:val="00F164FD"/>
    <w:rsid w:val="00F17E69"/>
    <w:rsid w:val="00F215DE"/>
    <w:rsid w:val="00F2206D"/>
    <w:rsid w:val="00F2240D"/>
    <w:rsid w:val="00F22451"/>
    <w:rsid w:val="00F22C93"/>
    <w:rsid w:val="00F233EB"/>
    <w:rsid w:val="00F25426"/>
    <w:rsid w:val="00F25FBD"/>
    <w:rsid w:val="00F261CA"/>
    <w:rsid w:val="00F2664C"/>
    <w:rsid w:val="00F2715A"/>
    <w:rsid w:val="00F27C92"/>
    <w:rsid w:val="00F27D58"/>
    <w:rsid w:val="00F3058C"/>
    <w:rsid w:val="00F31757"/>
    <w:rsid w:val="00F31AE8"/>
    <w:rsid w:val="00F326C5"/>
    <w:rsid w:val="00F32911"/>
    <w:rsid w:val="00F32976"/>
    <w:rsid w:val="00F32B7A"/>
    <w:rsid w:val="00F34179"/>
    <w:rsid w:val="00F35825"/>
    <w:rsid w:val="00F36674"/>
    <w:rsid w:val="00F36ECC"/>
    <w:rsid w:val="00F36EF7"/>
    <w:rsid w:val="00F371F5"/>
    <w:rsid w:val="00F37C68"/>
    <w:rsid w:val="00F438B9"/>
    <w:rsid w:val="00F43F9D"/>
    <w:rsid w:val="00F45F93"/>
    <w:rsid w:val="00F460EF"/>
    <w:rsid w:val="00F46322"/>
    <w:rsid w:val="00F464AC"/>
    <w:rsid w:val="00F46D2B"/>
    <w:rsid w:val="00F47666"/>
    <w:rsid w:val="00F50AD0"/>
    <w:rsid w:val="00F512A0"/>
    <w:rsid w:val="00F52B92"/>
    <w:rsid w:val="00F52FB4"/>
    <w:rsid w:val="00F53F4B"/>
    <w:rsid w:val="00F542E8"/>
    <w:rsid w:val="00F6057B"/>
    <w:rsid w:val="00F608A2"/>
    <w:rsid w:val="00F61629"/>
    <w:rsid w:val="00F61D7E"/>
    <w:rsid w:val="00F62412"/>
    <w:rsid w:val="00F642F0"/>
    <w:rsid w:val="00F64A2A"/>
    <w:rsid w:val="00F652B5"/>
    <w:rsid w:val="00F655D7"/>
    <w:rsid w:val="00F65AD5"/>
    <w:rsid w:val="00F65EA2"/>
    <w:rsid w:val="00F66DC4"/>
    <w:rsid w:val="00F70F54"/>
    <w:rsid w:val="00F71040"/>
    <w:rsid w:val="00F7132A"/>
    <w:rsid w:val="00F717C4"/>
    <w:rsid w:val="00F71908"/>
    <w:rsid w:val="00F721BB"/>
    <w:rsid w:val="00F7256B"/>
    <w:rsid w:val="00F73504"/>
    <w:rsid w:val="00F73726"/>
    <w:rsid w:val="00F73C67"/>
    <w:rsid w:val="00F7406A"/>
    <w:rsid w:val="00F74E8C"/>
    <w:rsid w:val="00F74E9C"/>
    <w:rsid w:val="00F762E0"/>
    <w:rsid w:val="00F763F4"/>
    <w:rsid w:val="00F77501"/>
    <w:rsid w:val="00F80059"/>
    <w:rsid w:val="00F80C24"/>
    <w:rsid w:val="00F81338"/>
    <w:rsid w:val="00F81571"/>
    <w:rsid w:val="00F8311A"/>
    <w:rsid w:val="00F848B7"/>
    <w:rsid w:val="00F84A82"/>
    <w:rsid w:val="00F85BB8"/>
    <w:rsid w:val="00F85CC9"/>
    <w:rsid w:val="00F8620B"/>
    <w:rsid w:val="00F8625B"/>
    <w:rsid w:val="00F865D4"/>
    <w:rsid w:val="00F87031"/>
    <w:rsid w:val="00F909C6"/>
    <w:rsid w:val="00F90C0A"/>
    <w:rsid w:val="00F90E4D"/>
    <w:rsid w:val="00F915AD"/>
    <w:rsid w:val="00F925C3"/>
    <w:rsid w:val="00F92F14"/>
    <w:rsid w:val="00F93FEA"/>
    <w:rsid w:val="00F9403E"/>
    <w:rsid w:val="00F94D22"/>
    <w:rsid w:val="00FA01CE"/>
    <w:rsid w:val="00FA01D3"/>
    <w:rsid w:val="00FA09AE"/>
    <w:rsid w:val="00FA16A8"/>
    <w:rsid w:val="00FA19EA"/>
    <w:rsid w:val="00FA20A7"/>
    <w:rsid w:val="00FA27CA"/>
    <w:rsid w:val="00FA2956"/>
    <w:rsid w:val="00FA2F30"/>
    <w:rsid w:val="00FA3FED"/>
    <w:rsid w:val="00FA40EA"/>
    <w:rsid w:val="00FA5592"/>
    <w:rsid w:val="00FA686B"/>
    <w:rsid w:val="00FA6DE5"/>
    <w:rsid w:val="00FA7064"/>
    <w:rsid w:val="00FB2827"/>
    <w:rsid w:val="00FB29D8"/>
    <w:rsid w:val="00FB2C6E"/>
    <w:rsid w:val="00FB2FD4"/>
    <w:rsid w:val="00FB5EAF"/>
    <w:rsid w:val="00FB71A6"/>
    <w:rsid w:val="00FC0DFC"/>
    <w:rsid w:val="00FC1666"/>
    <w:rsid w:val="00FC1DAE"/>
    <w:rsid w:val="00FC21AF"/>
    <w:rsid w:val="00FC2518"/>
    <w:rsid w:val="00FC4676"/>
    <w:rsid w:val="00FC4725"/>
    <w:rsid w:val="00FC4962"/>
    <w:rsid w:val="00FC4C8C"/>
    <w:rsid w:val="00FC5C81"/>
    <w:rsid w:val="00FC6A44"/>
    <w:rsid w:val="00FC6B4D"/>
    <w:rsid w:val="00FD06FB"/>
    <w:rsid w:val="00FD0BDB"/>
    <w:rsid w:val="00FD148D"/>
    <w:rsid w:val="00FD2E5A"/>
    <w:rsid w:val="00FD43D2"/>
    <w:rsid w:val="00FD6709"/>
    <w:rsid w:val="00FD6713"/>
    <w:rsid w:val="00FD72AD"/>
    <w:rsid w:val="00FD78A7"/>
    <w:rsid w:val="00FE0AAB"/>
    <w:rsid w:val="00FE1655"/>
    <w:rsid w:val="00FE1A80"/>
    <w:rsid w:val="00FE1FCB"/>
    <w:rsid w:val="00FE24CB"/>
    <w:rsid w:val="00FE283E"/>
    <w:rsid w:val="00FE4A54"/>
    <w:rsid w:val="00FE619F"/>
    <w:rsid w:val="00FE623B"/>
    <w:rsid w:val="00FE69D4"/>
    <w:rsid w:val="00FE6A25"/>
    <w:rsid w:val="00FE6F19"/>
    <w:rsid w:val="00FE7552"/>
    <w:rsid w:val="00FF0A2D"/>
    <w:rsid w:val="00FF0CE5"/>
    <w:rsid w:val="00FF0E9D"/>
    <w:rsid w:val="00FF1340"/>
    <w:rsid w:val="00FF17C7"/>
    <w:rsid w:val="00FF1C37"/>
    <w:rsid w:val="00FF1E16"/>
    <w:rsid w:val="00FF2865"/>
    <w:rsid w:val="00FF4445"/>
    <w:rsid w:val="00FF5B52"/>
    <w:rsid w:val="00FF5DDC"/>
    <w:rsid w:val="00FF6721"/>
    <w:rsid w:val="00FF725E"/>
    <w:rsid w:val="00FF7B8B"/>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BB5"/>
    <w:rPr>
      <w:sz w:val="24"/>
    </w:rPr>
  </w:style>
  <w:style w:type="paragraph" w:styleId="Ttulo1">
    <w:name w:val="heading 1"/>
    <w:basedOn w:val="Normal"/>
    <w:next w:val="Normal"/>
    <w:link w:val="Ttulo1Car"/>
    <w:qFormat/>
    <w:rsid w:val="000F7BB5"/>
    <w:pPr>
      <w:keepNext/>
      <w:suppressAutoHyphens/>
      <w:spacing w:line="480" w:lineRule="auto"/>
      <w:jc w:val="center"/>
      <w:outlineLvl w:val="0"/>
    </w:pPr>
    <w:rPr>
      <w:b/>
    </w:rPr>
  </w:style>
  <w:style w:type="paragraph" w:styleId="Ttulo2">
    <w:name w:val="heading 2"/>
    <w:basedOn w:val="Normal"/>
    <w:next w:val="Normal"/>
    <w:link w:val="Ttulo2Car"/>
    <w:qFormat/>
    <w:rsid w:val="000F7BB5"/>
    <w:pPr>
      <w:keepNext/>
      <w:suppressAutoHyphens/>
      <w:spacing w:line="480" w:lineRule="auto"/>
      <w:jc w:val="center"/>
      <w:outlineLvl w:val="1"/>
    </w:pPr>
    <w:rPr>
      <w:b/>
      <w:u w:val="single"/>
    </w:rPr>
  </w:style>
  <w:style w:type="paragraph" w:styleId="Ttulo3">
    <w:name w:val="heading 3"/>
    <w:basedOn w:val="Normal"/>
    <w:next w:val="Sangranormal"/>
    <w:link w:val="Ttulo3Car"/>
    <w:qFormat/>
    <w:rsid w:val="000F7BB5"/>
    <w:pPr>
      <w:keepNext/>
      <w:suppressAutoHyphens/>
      <w:spacing w:line="480" w:lineRule="auto"/>
      <w:jc w:val="center"/>
      <w:outlineLvl w:val="2"/>
    </w:pPr>
    <w:rPr>
      <w:b/>
    </w:rPr>
  </w:style>
  <w:style w:type="paragraph" w:styleId="Ttulo4">
    <w:name w:val="heading 4"/>
    <w:basedOn w:val="Normal"/>
    <w:next w:val="Normal"/>
    <w:qFormat/>
    <w:rsid w:val="000F7BB5"/>
    <w:pPr>
      <w:keepNext/>
      <w:suppressAutoHyphens/>
      <w:spacing w:line="480" w:lineRule="auto"/>
      <w:outlineLvl w:val="3"/>
    </w:pPr>
    <w:rPr>
      <w:b/>
      <w:u w:val="single"/>
    </w:rPr>
  </w:style>
  <w:style w:type="paragraph" w:styleId="Ttulo5">
    <w:name w:val="heading 5"/>
    <w:basedOn w:val="Normal"/>
    <w:next w:val="Normal"/>
    <w:qFormat/>
    <w:rsid w:val="000F7BB5"/>
    <w:pPr>
      <w:suppressAutoHyphens/>
      <w:spacing w:line="480" w:lineRule="auto"/>
      <w:outlineLvl w:val="4"/>
    </w:pPr>
    <w:rPr>
      <w:b/>
    </w:rPr>
  </w:style>
  <w:style w:type="paragraph" w:styleId="Ttulo6">
    <w:name w:val="heading 6"/>
    <w:basedOn w:val="Normal"/>
    <w:next w:val="Normal"/>
    <w:link w:val="Ttulo6Car"/>
    <w:uiPriority w:val="9"/>
    <w:qFormat/>
    <w:rsid w:val="000F3B86"/>
    <w:pPr>
      <w:spacing w:before="240" w:after="60"/>
      <w:outlineLvl w:val="5"/>
    </w:pPr>
    <w:rPr>
      <w:rFonts w:ascii="Calibri" w:hAnsi="Calibri"/>
      <w:b/>
      <w:bCs/>
      <w:sz w:val="22"/>
      <w:szCs w:val="22"/>
    </w:rPr>
  </w:style>
  <w:style w:type="paragraph" w:styleId="Ttulo7">
    <w:name w:val="heading 7"/>
    <w:basedOn w:val="Normal"/>
    <w:next w:val="Normal"/>
    <w:link w:val="Ttulo7Car"/>
    <w:uiPriority w:val="9"/>
    <w:qFormat/>
    <w:rsid w:val="00002C05"/>
    <w:pPr>
      <w:spacing w:before="240" w:after="60"/>
      <w:outlineLvl w:val="6"/>
    </w:pPr>
    <w:rPr>
      <w:rFonts w:ascii="Calibri" w:hAnsi="Calibri"/>
      <w:szCs w:val="24"/>
    </w:rPr>
  </w:style>
  <w:style w:type="paragraph" w:styleId="Ttulo8">
    <w:name w:val="heading 8"/>
    <w:basedOn w:val="Normal"/>
    <w:next w:val="Normal"/>
    <w:link w:val="Ttulo8Car"/>
    <w:uiPriority w:val="9"/>
    <w:qFormat/>
    <w:rsid w:val="00002C05"/>
    <w:pPr>
      <w:spacing w:before="240" w:after="60"/>
      <w:outlineLvl w:val="7"/>
    </w:pPr>
    <w:rPr>
      <w:rFonts w:ascii="Calibri" w:hAnsi="Calibri"/>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F7BB5"/>
  </w:style>
  <w:style w:type="character" w:styleId="Refdenotaalpie">
    <w:name w:val="footnote reference"/>
    <w:basedOn w:val="Fuentedeprrafopredeter"/>
    <w:semiHidden/>
    <w:rsid w:val="000F7BB5"/>
    <w:rPr>
      <w:rFonts w:ascii="Times New Roman" w:hAnsi="Times New Roman"/>
      <w:position w:val="6"/>
      <w:sz w:val="28"/>
      <w:vertAlign w:val="superscript"/>
    </w:rPr>
  </w:style>
  <w:style w:type="paragraph" w:styleId="Textoindependiente2">
    <w:name w:val="Body Text 2"/>
    <w:basedOn w:val="Normal"/>
    <w:rsid w:val="007C79DC"/>
    <w:pPr>
      <w:spacing w:line="480" w:lineRule="auto"/>
    </w:pPr>
    <w:rPr>
      <w:rFonts w:cs="Arial"/>
      <w:kern w:val="32"/>
      <w:szCs w:val="32"/>
      <w:lang w:val="en-GB"/>
    </w:rPr>
  </w:style>
  <w:style w:type="paragraph" w:styleId="Sangra2detindependiente">
    <w:name w:val="Body Text Indent 2"/>
    <w:basedOn w:val="Normal"/>
    <w:rsid w:val="007C79DC"/>
    <w:pPr>
      <w:spacing w:line="480" w:lineRule="auto"/>
      <w:ind w:firstLine="288"/>
    </w:pPr>
    <w:rPr>
      <w:rFonts w:cs="Arial"/>
      <w:kern w:val="32"/>
      <w:szCs w:val="32"/>
      <w:lang w:val="en-GB"/>
    </w:rPr>
  </w:style>
  <w:style w:type="paragraph" w:styleId="Sangranormal">
    <w:name w:val="Normal Indent"/>
    <w:basedOn w:val="Normal"/>
    <w:rsid w:val="000F7BB5"/>
    <w:pPr>
      <w:ind w:left="720"/>
    </w:pPr>
  </w:style>
  <w:style w:type="paragraph" w:styleId="Textonotaalfinal">
    <w:name w:val="endnote text"/>
    <w:basedOn w:val="Normal"/>
    <w:semiHidden/>
    <w:rsid w:val="000F7BB5"/>
  </w:style>
  <w:style w:type="character" w:styleId="Refdenotaalfinal">
    <w:name w:val="endnote reference"/>
    <w:basedOn w:val="Fuentedeprrafopredeter"/>
    <w:semiHidden/>
    <w:rsid w:val="000F7BB5"/>
    <w:rPr>
      <w:rFonts w:ascii="Times New Roman" w:hAnsi="Times New Roman"/>
      <w:sz w:val="24"/>
      <w:vertAlign w:val="superscript"/>
    </w:rPr>
  </w:style>
  <w:style w:type="paragraph" w:styleId="TDC3">
    <w:name w:val="toc 3"/>
    <w:basedOn w:val="Normal"/>
    <w:next w:val="Normal"/>
    <w:uiPriority w:val="39"/>
    <w:rsid w:val="000F7BB5"/>
    <w:pPr>
      <w:tabs>
        <w:tab w:val="left" w:pos="1440"/>
        <w:tab w:val="left" w:pos="1800"/>
        <w:tab w:val="right" w:leader="dot" w:pos="8496"/>
      </w:tabs>
      <w:spacing w:line="480" w:lineRule="auto"/>
      <w:ind w:left="1800" w:hanging="360"/>
    </w:pPr>
  </w:style>
  <w:style w:type="paragraph" w:styleId="TDC2">
    <w:name w:val="toc 2"/>
    <w:basedOn w:val="Normal"/>
    <w:next w:val="Normal"/>
    <w:uiPriority w:val="39"/>
    <w:rsid w:val="000F7BB5"/>
    <w:pPr>
      <w:tabs>
        <w:tab w:val="right" w:leader="dot" w:pos="8496"/>
      </w:tabs>
      <w:spacing w:line="480" w:lineRule="auto"/>
      <w:ind w:left="1080" w:hanging="360"/>
    </w:pPr>
  </w:style>
  <w:style w:type="paragraph" w:styleId="TDC1">
    <w:name w:val="toc 1"/>
    <w:basedOn w:val="Normal"/>
    <w:next w:val="Normal"/>
    <w:uiPriority w:val="39"/>
    <w:rsid w:val="00A1185D"/>
    <w:pPr>
      <w:tabs>
        <w:tab w:val="left" w:pos="720"/>
        <w:tab w:val="right" w:leader="dot" w:pos="8496"/>
      </w:tabs>
      <w:ind w:left="1080" w:hanging="1080"/>
    </w:pPr>
    <w:rPr>
      <w:caps/>
    </w:rPr>
  </w:style>
  <w:style w:type="paragraph" w:styleId="Piedepgina">
    <w:name w:val="footer"/>
    <w:basedOn w:val="Normal"/>
    <w:rsid w:val="000F7BB5"/>
    <w:pPr>
      <w:tabs>
        <w:tab w:val="center" w:pos="4320"/>
        <w:tab w:val="right" w:pos="8640"/>
      </w:tabs>
    </w:pPr>
  </w:style>
  <w:style w:type="paragraph" w:styleId="Encabezado">
    <w:name w:val="header"/>
    <w:basedOn w:val="Normal"/>
    <w:rsid w:val="000F7BB5"/>
    <w:pPr>
      <w:tabs>
        <w:tab w:val="center" w:pos="4320"/>
        <w:tab w:val="right" w:pos="8640"/>
      </w:tabs>
    </w:pPr>
  </w:style>
  <w:style w:type="paragraph" w:customStyle="1" w:styleId="Bibliografa1">
    <w:name w:val="Bibliografía1"/>
    <w:basedOn w:val="Normal"/>
    <w:rsid w:val="000F7BB5"/>
    <w:pPr>
      <w:keepLines/>
      <w:ind w:left="720" w:hanging="720"/>
    </w:pPr>
  </w:style>
  <w:style w:type="character" w:styleId="Nmerodepgina">
    <w:name w:val="page number"/>
    <w:basedOn w:val="Fuentedeprrafopredeter"/>
    <w:rsid w:val="000F7BB5"/>
    <w:rPr>
      <w:rFonts w:ascii="Times New Roman" w:hAnsi="Times New Roman"/>
      <w:sz w:val="24"/>
    </w:rPr>
  </w:style>
  <w:style w:type="paragraph" w:styleId="TDC4">
    <w:name w:val="toc 4"/>
    <w:basedOn w:val="Normal"/>
    <w:next w:val="Normal"/>
    <w:semiHidden/>
    <w:rsid w:val="000F7BB5"/>
    <w:pPr>
      <w:tabs>
        <w:tab w:val="left" w:pos="2160"/>
        <w:tab w:val="left" w:pos="2520"/>
        <w:tab w:val="right" w:leader="dot" w:pos="8496"/>
      </w:tabs>
      <w:spacing w:line="480" w:lineRule="auto"/>
      <w:ind w:left="2520" w:hanging="360"/>
    </w:pPr>
  </w:style>
  <w:style w:type="paragraph" w:styleId="TDC5">
    <w:name w:val="toc 5"/>
    <w:basedOn w:val="Normal"/>
    <w:next w:val="Normal"/>
    <w:semiHidden/>
    <w:rsid w:val="000F7BB5"/>
    <w:pPr>
      <w:tabs>
        <w:tab w:val="right" w:leader="dot" w:pos="8496"/>
      </w:tabs>
      <w:spacing w:line="480" w:lineRule="auto"/>
      <w:ind w:left="3240" w:hanging="360"/>
    </w:pPr>
  </w:style>
  <w:style w:type="paragraph" w:styleId="TDC6">
    <w:name w:val="toc 6"/>
    <w:basedOn w:val="Normal"/>
    <w:next w:val="Normal"/>
    <w:semiHidden/>
    <w:rsid w:val="000F7BB5"/>
    <w:pPr>
      <w:tabs>
        <w:tab w:val="right" w:leader="dot" w:pos="8640"/>
      </w:tabs>
      <w:ind w:left="1100"/>
    </w:pPr>
  </w:style>
  <w:style w:type="paragraph" w:styleId="TDC7">
    <w:name w:val="toc 7"/>
    <w:basedOn w:val="Normal"/>
    <w:next w:val="Normal"/>
    <w:semiHidden/>
    <w:rsid w:val="000F7BB5"/>
    <w:pPr>
      <w:tabs>
        <w:tab w:val="right" w:leader="dot" w:pos="8640"/>
      </w:tabs>
      <w:ind w:left="1320"/>
    </w:pPr>
  </w:style>
  <w:style w:type="paragraph" w:styleId="TDC8">
    <w:name w:val="toc 8"/>
    <w:basedOn w:val="Normal"/>
    <w:next w:val="Normal"/>
    <w:semiHidden/>
    <w:rsid w:val="000F7BB5"/>
    <w:pPr>
      <w:tabs>
        <w:tab w:val="right" w:leader="dot" w:pos="8640"/>
      </w:tabs>
      <w:ind w:left="1540"/>
    </w:pPr>
  </w:style>
  <w:style w:type="paragraph" w:styleId="TDC9">
    <w:name w:val="toc 9"/>
    <w:basedOn w:val="Normal"/>
    <w:next w:val="Normal"/>
    <w:semiHidden/>
    <w:rsid w:val="000F7BB5"/>
    <w:pPr>
      <w:tabs>
        <w:tab w:val="right" w:leader="dot" w:pos="8640"/>
      </w:tabs>
      <w:ind w:left="1760"/>
    </w:pPr>
  </w:style>
  <w:style w:type="paragraph" w:styleId="Epgrafe">
    <w:name w:val="caption"/>
    <w:basedOn w:val="Normal"/>
    <w:next w:val="Normal"/>
    <w:qFormat/>
    <w:rsid w:val="000F7BB5"/>
    <w:pPr>
      <w:keepNext/>
      <w:keepLines/>
      <w:spacing w:before="200" w:after="200"/>
      <w:jc w:val="center"/>
    </w:pPr>
  </w:style>
  <w:style w:type="paragraph" w:customStyle="1" w:styleId="paragraph-chapters">
    <w:name w:val="paragraph-chapters"/>
    <w:basedOn w:val="Normal"/>
    <w:rsid w:val="000F7BB5"/>
    <w:pPr>
      <w:spacing w:line="480" w:lineRule="auto"/>
      <w:ind w:firstLine="720"/>
    </w:pPr>
  </w:style>
  <w:style w:type="paragraph" w:styleId="Tabladeilustraciones">
    <w:name w:val="table of figures"/>
    <w:basedOn w:val="Normal"/>
    <w:next w:val="Normal"/>
    <w:semiHidden/>
    <w:rsid w:val="000F7BB5"/>
    <w:pPr>
      <w:tabs>
        <w:tab w:val="left" w:pos="720"/>
        <w:tab w:val="right" w:leader="dot" w:pos="8496"/>
      </w:tabs>
      <w:spacing w:before="240"/>
      <w:ind w:left="1080" w:right="720" w:hanging="720"/>
    </w:pPr>
    <w:rPr>
      <w:noProof/>
    </w:rPr>
  </w:style>
  <w:style w:type="paragraph" w:styleId="Textodeglobo">
    <w:name w:val="Balloon Text"/>
    <w:basedOn w:val="Normal"/>
    <w:semiHidden/>
    <w:rsid w:val="007C79DC"/>
    <w:rPr>
      <w:rFonts w:ascii="Tahoma" w:hAnsi="Tahoma" w:cs="Tahoma"/>
      <w:sz w:val="16"/>
      <w:szCs w:val="16"/>
    </w:rPr>
  </w:style>
  <w:style w:type="character" w:customStyle="1" w:styleId="Ttulo2Car">
    <w:name w:val="Título 2 Car"/>
    <w:basedOn w:val="Fuentedeprrafopredeter"/>
    <w:link w:val="Ttulo2"/>
    <w:rsid w:val="00390D1D"/>
    <w:rPr>
      <w:b/>
      <w:sz w:val="24"/>
      <w:u w:val="single"/>
    </w:rPr>
  </w:style>
  <w:style w:type="character" w:customStyle="1" w:styleId="Ttulo3Car">
    <w:name w:val="Título 3 Car"/>
    <w:basedOn w:val="Fuentedeprrafopredeter"/>
    <w:link w:val="Ttulo3"/>
    <w:rsid w:val="00390D1D"/>
    <w:rPr>
      <w:b/>
      <w:sz w:val="24"/>
    </w:rPr>
  </w:style>
  <w:style w:type="character" w:customStyle="1" w:styleId="TextonotapieCar">
    <w:name w:val="Texto nota pie Car"/>
    <w:basedOn w:val="Fuentedeprrafopredeter"/>
    <w:link w:val="Textonotapie"/>
    <w:rsid w:val="00390D1D"/>
    <w:rPr>
      <w:sz w:val="24"/>
    </w:rPr>
  </w:style>
  <w:style w:type="character" w:styleId="Hipervnculo">
    <w:name w:val="Hyperlink"/>
    <w:basedOn w:val="Fuentedeprrafopredeter"/>
    <w:uiPriority w:val="99"/>
    <w:rsid w:val="00390D1D"/>
    <w:rPr>
      <w:color w:val="0000FF"/>
      <w:u w:val="single"/>
    </w:rPr>
  </w:style>
  <w:style w:type="character" w:customStyle="1" w:styleId="Ttulo1Car">
    <w:name w:val="Título 1 Car"/>
    <w:basedOn w:val="Fuentedeprrafopredeter"/>
    <w:link w:val="Ttulo1"/>
    <w:rsid w:val="003C6891"/>
    <w:rPr>
      <w:b/>
      <w:sz w:val="24"/>
    </w:rPr>
  </w:style>
  <w:style w:type="character" w:customStyle="1" w:styleId="Ttulo6Car">
    <w:name w:val="Título 6 Car"/>
    <w:basedOn w:val="Fuentedeprrafopredeter"/>
    <w:link w:val="Ttulo6"/>
    <w:uiPriority w:val="9"/>
    <w:rsid w:val="000F3B86"/>
    <w:rPr>
      <w:rFonts w:ascii="Calibri" w:eastAsia="Times New Roman" w:hAnsi="Calibri" w:cs="Times New Roman"/>
      <w:b/>
      <w:bCs/>
      <w:sz w:val="22"/>
      <w:szCs w:val="22"/>
      <w:lang w:val="en-US" w:eastAsia="en-US"/>
    </w:rPr>
  </w:style>
  <w:style w:type="character" w:styleId="Hipervnculovisitado">
    <w:name w:val="FollowedHyperlink"/>
    <w:basedOn w:val="Fuentedeprrafopredeter"/>
    <w:uiPriority w:val="99"/>
    <w:semiHidden/>
    <w:unhideWhenUsed/>
    <w:rsid w:val="00CD5E4B"/>
    <w:rPr>
      <w:color w:val="800080"/>
      <w:u w:val="single"/>
    </w:rPr>
  </w:style>
  <w:style w:type="character" w:styleId="nfasis">
    <w:name w:val="Emphasis"/>
    <w:basedOn w:val="Fuentedeprrafopredeter"/>
    <w:uiPriority w:val="20"/>
    <w:qFormat/>
    <w:rsid w:val="00DE7F88"/>
    <w:rPr>
      <w:i/>
      <w:iCs/>
    </w:rPr>
  </w:style>
  <w:style w:type="character" w:customStyle="1" w:styleId="Ttulo7Car">
    <w:name w:val="Título 7 Car"/>
    <w:basedOn w:val="Fuentedeprrafopredeter"/>
    <w:link w:val="Ttulo7"/>
    <w:uiPriority w:val="9"/>
    <w:rsid w:val="00002C05"/>
    <w:rPr>
      <w:rFonts w:ascii="Calibri" w:eastAsia="Times New Roman" w:hAnsi="Calibri" w:cs="Times New Roman"/>
      <w:sz w:val="24"/>
      <w:szCs w:val="24"/>
      <w:lang w:val="en-US" w:eastAsia="en-US"/>
    </w:rPr>
  </w:style>
  <w:style w:type="character" w:customStyle="1" w:styleId="Ttulo8Car">
    <w:name w:val="Título 8 Car"/>
    <w:basedOn w:val="Fuentedeprrafopredeter"/>
    <w:link w:val="Ttulo8"/>
    <w:uiPriority w:val="9"/>
    <w:semiHidden/>
    <w:rsid w:val="00002C05"/>
    <w:rPr>
      <w:rFonts w:ascii="Calibri" w:eastAsia="Times New Roman" w:hAnsi="Calibri" w:cs="Times New Roman"/>
      <w:i/>
      <w:iCs/>
      <w:sz w:val="24"/>
      <w:szCs w:val="24"/>
      <w:lang w:val="en-US" w:eastAsia="en-US"/>
    </w:rPr>
  </w:style>
  <w:style w:type="character" w:customStyle="1" w:styleId="textmain1">
    <w:name w:val="text_main1"/>
    <w:basedOn w:val="Fuentedeprrafopredeter"/>
    <w:rsid w:val="00857DF0"/>
    <w:rPr>
      <w:rFonts w:ascii="Verdana" w:hAnsi="Verdana" w:hint="default"/>
      <w:strike w:val="0"/>
      <w:dstrike w:val="0"/>
      <w:color w:val="021269"/>
      <w:sz w:val="17"/>
      <w:szCs w:val="17"/>
      <w:u w:val="none"/>
      <w:effect w:val="none"/>
    </w:rPr>
  </w:style>
  <w:style w:type="paragraph" w:styleId="Revisin">
    <w:name w:val="Revision"/>
    <w:hidden/>
    <w:uiPriority w:val="99"/>
    <w:semiHidden/>
    <w:rsid w:val="003409E5"/>
    <w:rPr>
      <w:sz w:val="24"/>
    </w:rPr>
  </w:style>
  <w:style w:type="character" w:styleId="Refdecomentario">
    <w:name w:val="annotation reference"/>
    <w:basedOn w:val="Fuentedeprrafopredeter"/>
    <w:semiHidden/>
    <w:unhideWhenUsed/>
    <w:rsid w:val="001439AD"/>
    <w:rPr>
      <w:sz w:val="16"/>
      <w:szCs w:val="16"/>
    </w:rPr>
  </w:style>
  <w:style w:type="paragraph" w:styleId="Textocomentario">
    <w:name w:val="annotation text"/>
    <w:basedOn w:val="Normal"/>
    <w:link w:val="TextocomentarioCar"/>
    <w:semiHidden/>
    <w:unhideWhenUsed/>
    <w:rsid w:val="001439AD"/>
    <w:rPr>
      <w:sz w:val="20"/>
    </w:rPr>
  </w:style>
  <w:style w:type="character" w:customStyle="1" w:styleId="TextocomentarioCar">
    <w:name w:val="Texto comentario Car"/>
    <w:basedOn w:val="Fuentedeprrafopredeter"/>
    <w:link w:val="Textocomentario"/>
    <w:uiPriority w:val="99"/>
    <w:semiHidden/>
    <w:rsid w:val="001439AD"/>
  </w:style>
  <w:style w:type="paragraph" w:styleId="Asuntodelcomentario">
    <w:name w:val="annotation subject"/>
    <w:basedOn w:val="Textocomentario"/>
    <w:next w:val="Textocomentario"/>
    <w:link w:val="AsuntodelcomentarioCar"/>
    <w:uiPriority w:val="99"/>
    <w:semiHidden/>
    <w:unhideWhenUsed/>
    <w:rsid w:val="001439AD"/>
    <w:rPr>
      <w:b/>
      <w:bCs/>
    </w:rPr>
  </w:style>
  <w:style w:type="character" w:customStyle="1" w:styleId="AsuntodelcomentarioCar">
    <w:name w:val="Asunto del comentario Car"/>
    <w:basedOn w:val="TextocomentarioCar"/>
    <w:link w:val="Asuntodelcomentario"/>
    <w:uiPriority w:val="99"/>
    <w:semiHidden/>
    <w:rsid w:val="001439AD"/>
    <w:rPr>
      <w:b/>
      <w:bCs/>
    </w:rPr>
  </w:style>
  <w:style w:type="paragraph" w:styleId="Prrafodelista">
    <w:name w:val="List Paragraph"/>
    <w:basedOn w:val="Normal"/>
    <w:uiPriority w:val="34"/>
    <w:qFormat/>
    <w:rsid w:val="005E4801"/>
    <w:pPr>
      <w:ind w:left="720"/>
    </w:pPr>
  </w:style>
  <w:style w:type="character" w:styleId="Textodelmarcadordeposicin">
    <w:name w:val="Placeholder Text"/>
    <w:basedOn w:val="Fuentedeprrafopredeter"/>
    <w:uiPriority w:val="99"/>
    <w:semiHidden/>
    <w:rsid w:val="00A92A0A"/>
    <w:rPr>
      <w:color w:val="808080"/>
    </w:rPr>
  </w:style>
</w:styles>
</file>

<file path=word/webSettings.xml><?xml version="1.0" encoding="utf-8"?>
<w:webSettings xmlns:r="http://schemas.openxmlformats.org/officeDocument/2006/relationships" xmlns:w="http://schemas.openxmlformats.org/wordprocessingml/2006/main">
  <w:divs>
    <w:div w:id="314840339">
      <w:bodyDiv w:val="1"/>
      <w:marLeft w:val="0"/>
      <w:marRight w:val="0"/>
      <w:marTop w:val="0"/>
      <w:marBottom w:val="0"/>
      <w:divBdr>
        <w:top w:val="none" w:sz="0" w:space="0" w:color="auto"/>
        <w:left w:val="none" w:sz="0" w:space="0" w:color="auto"/>
        <w:bottom w:val="none" w:sz="0" w:space="0" w:color="auto"/>
        <w:right w:val="none" w:sz="0" w:space="0" w:color="auto"/>
      </w:divBdr>
      <w:divsChild>
        <w:div w:id="1769808732">
          <w:marLeft w:val="0"/>
          <w:marRight w:val="0"/>
          <w:marTop w:val="0"/>
          <w:marBottom w:val="0"/>
          <w:divBdr>
            <w:top w:val="none" w:sz="0" w:space="0" w:color="auto"/>
            <w:left w:val="none" w:sz="0" w:space="0" w:color="auto"/>
            <w:bottom w:val="none" w:sz="0" w:space="0" w:color="auto"/>
            <w:right w:val="none" w:sz="0" w:space="0" w:color="auto"/>
          </w:divBdr>
        </w:div>
      </w:divsChild>
    </w:div>
    <w:div w:id="155846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ca.int/cdoc/publicaciones/transform/catalogo/pdf-sp/IV/17/17a%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rcaffera@um.edu.u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caffera\Datos%20de%20programa\Microsoft\Plantillas\umass0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130B-1142-47DB-97EF-A688FB1C4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umass00</Template>
  <TotalTime>954</TotalTime>
  <Pages>36</Pages>
  <Words>12307</Words>
  <Characters>67690</Characters>
  <Application>Microsoft Office Word</Application>
  <DocSecurity>0</DocSecurity>
  <Lines>564</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CHAPTER 1: INDUSTRIAL WATER POLLUTION CONTROL POLICY IN MONTEVIDEO </vt:lpstr>
      <vt:lpstr>CHAPTER 1: INDUSTRIAL WATER POLLUTION CONTROL POLICY IN MONTEVIDEO </vt:lpstr>
    </vt:vector>
  </TitlesOfParts>
  <Company>Universidad de Montevideo</Company>
  <LinksUpToDate>false</LinksUpToDate>
  <CharactersWithSpaces>79838</CharactersWithSpaces>
  <SharedDoc>false</SharedDoc>
  <HLinks>
    <vt:vector size="102" baseType="variant">
      <vt:variant>
        <vt:i4>1048632</vt:i4>
      </vt:variant>
      <vt:variant>
        <vt:i4>92</vt:i4>
      </vt:variant>
      <vt:variant>
        <vt:i4>0</vt:i4>
      </vt:variant>
      <vt:variant>
        <vt:i4>5</vt:i4>
      </vt:variant>
      <vt:variant>
        <vt:lpwstr/>
      </vt:variant>
      <vt:variant>
        <vt:lpwstr>_Toc239137025</vt:lpwstr>
      </vt:variant>
      <vt:variant>
        <vt:i4>1048632</vt:i4>
      </vt:variant>
      <vt:variant>
        <vt:i4>86</vt:i4>
      </vt:variant>
      <vt:variant>
        <vt:i4>0</vt:i4>
      </vt:variant>
      <vt:variant>
        <vt:i4>5</vt:i4>
      </vt:variant>
      <vt:variant>
        <vt:lpwstr/>
      </vt:variant>
      <vt:variant>
        <vt:lpwstr>_Toc239137024</vt:lpwstr>
      </vt:variant>
      <vt:variant>
        <vt:i4>1048632</vt:i4>
      </vt:variant>
      <vt:variant>
        <vt:i4>80</vt:i4>
      </vt:variant>
      <vt:variant>
        <vt:i4>0</vt:i4>
      </vt:variant>
      <vt:variant>
        <vt:i4>5</vt:i4>
      </vt:variant>
      <vt:variant>
        <vt:lpwstr/>
      </vt:variant>
      <vt:variant>
        <vt:lpwstr>_Toc239137023</vt:lpwstr>
      </vt:variant>
      <vt:variant>
        <vt:i4>1048632</vt:i4>
      </vt:variant>
      <vt:variant>
        <vt:i4>74</vt:i4>
      </vt:variant>
      <vt:variant>
        <vt:i4>0</vt:i4>
      </vt:variant>
      <vt:variant>
        <vt:i4>5</vt:i4>
      </vt:variant>
      <vt:variant>
        <vt:lpwstr/>
      </vt:variant>
      <vt:variant>
        <vt:lpwstr>_Toc239137022</vt:lpwstr>
      </vt:variant>
      <vt:variant>
        <vt:i4>1048632</vt:i4>
      </vt:variant>
      <vt:variant>
        <vt:i4>68</vt:i4>
      </vt:variant>
      <vt:variant>
        <vt:i4>0</vt:i4>
      </vt:variant>
      <vt:variant>
        <vt:i4>5</vt:i4>
      </vt:variant>
      <vt:variant>
        <vt:lpwstr/>
      </vt:variant>
      <vt:variant>
        <vt:lpwstr>_Toc239137021</vt:lpwstr>
      </vt:variant>
      <vt:variant>
        <vt:i4>1048632</vt:i4>
      </vt:variant>
      <vt:variant>
        <vt:i4>62</vt:i4>
      </vt:variant>
      <vt:variant>
        <vt:i4>0</vt:i4>
      </vt:variant>
      <vt:variant>
        <vt:i4>5</vt:i4>
      </vt:variant>
      <vt:variant>
        <vt:lpwstr/>
      </vt:variant>
      <vt:variant>
        <vt:lpwstr>_Toc239137020</vt:lpwstr>
      </vt:variant>
      <vt:variant>
        <vt:i4>1245240</vt:i4>
      </vt:variant>
      <vt:variant>
        <vt:i4>56</vt:i4>
      </vt:variant>
      <vt:variant>
        <vt:i4>0</vt:i4>
      </vt:variant>
      <vt:variant>
        <vt:i4>5</vt:i4>
      </vt:variant>
      <vt:variant>
        <vt:lpwstr/>
      </vt:variant>
      <vt:variant>
        <vt:lpwstr>_Toc239137019</vt:lpwstr>
      </vt:variant>
      <vt:variant>
        <vt:i4>1245240</vt:i4>
      </vt:variant>
      <vt:variant>
        <vt:i4>50</vt:i4>
      </vt:variant>
      <vt:variant>
        <vt:i4>0</vt:i4>
      </vt:variant>
      <vt:variant>
        <vt:i4>5</vt:i4>
      </vt:variant>
      <vt:variant>
        <vt:lpwstr/>
      </vt:variant>
      <vt:variant>
        <vt:lpwstr>_Toc239137018</vt:lpwstr>
      </vt:variant>
      <vt:variant>
        <vt:i4>1245240</vt:i4>
      </vt:variant>
      <vt:variant>
        <vt:i4>44</vt:i4>
      </vt:variant>
      <vt:variant>
        <vt:i4>0</vt:i4>
      </vt:variant>
      <vt:variant>
        <vt:i4>5</vt:i4>
      </vt:variant>
      <vt:variant>
        <vt:lpwstr/>
      </vt:variant>
      <vt:variant>
        <vt:lpwstr>_Toc239137017</vt:lpwstr>
      </vt:variant>
      <vt:variant>
        <vt:i4>1245240</vt:i4>
      </vt:variant>
      <vt:variant>
        <vt:i4>38</vt:i4>
      </vt:variant>
      <vt:variant>
        <vt:i4>0</vt:i4>
      </vt:variant>
      <vt:variant>
        <vt:i4>5</vt:i4>
      </vt:variant>
      <vt:variant>
        <vt:lpwstr/>
      </vt:variant>
      <vt:variant>
        <vt:lpwstr>_Toc239137016</vt:lpwstr>
      </vt:variant>
      <vt:variant>
        <vt:i4>1245240</vt:i4>
      </vt:variant>
      <vt:variant>
        <vt:i4>32</vt:i4>
      </vt:variant>
      <vt:variant>
        <vt:i4>0</vt:i4>
      </vt:variant>
      <vt:variant>
        <vt:i4>5</vt:i4>
      </vt:variant>
      <vt:variant>
        <vt:lpwstr/>
      </vt:variant>
      <vt:variant>
        <vt:lpwstr>_Toc239137015</vt:lpwstr>
      </vt:variant>
      <vt:variant>
        <vt:i4>1245240</vt:i4>
      </vt:variant>
      <vt:variant>
        <vt:i4>26</vt:i4>
      </vt:variant>
      <vt:variant>
        <vt:i4>0</vt:i4>
      </vt:variant>
      <vt:variant>
        <vt:i4>5</vt:i4>
      </vt:variant>
      <vt:variant>
        <vt:lpwstr/>
      </vt:variant>
      <vt:variant>
        <vt:lpwstr>_Toc239137014</vt:lpwstr>
      </vt:variant>
      <vt:variant>
        <vt:i4>1245240</vt:i4>
      </vt:variant>
      <vt:variant>
        <vt:i4>20</vt:i4>
      </vt:variant>
      <vt:variant>
        <vt:i4>0</vt:i4>
      </vt:variant>
      <vt:variant>
        <vt:i4>5</vt:i4>
      </vt:variant>
      <vt:variant>
        <vt:lpwstr/>
      </vt:variant>
      <vt:variant>
        <vt:lpwstr>_Toc239137013</vt:lpwstr>
      </vt:variant>
      <vt:variant>
        <vt:i4>1245240</vt:i4>
      </vt:variant>
      <vt:variant>
        <vt:i4>14</vt:i4>
      </vt:variant>
      <vt:variant>
        <vt:i4>0</vt:i4>
      </vt:variant>
      <vt:variant>
        <vt:i4>5</vt:i4>
      </vt:variant>
      <vt:variant>
        <vt:lpwstr/>
      </vt:variant>
      <vt:variant>
        <vt:lpwstr>_Toc239137012</vt:lpwstr>
      </vt:variant>
      <vt:variant>
        <vt:i4>1245240</vt:i4>
      </vt:variant>
      <vt:variant>
        <vt:i4>8</vt:i4>
      </vt:variant>
      <vt:variant>
        <vt:i4>0</vt:i4>
      </vt:variant>
      <vt:variant>
        <vt:i4>5</vt:i4>
      </vt:variant>
      <vt:variant>
        <vt:lpwstr/>
      </vt:variant>
      <vt:variant>
        <vt:lpwstr>_Toc239137011</vt:lpwstr>
      </vt:variant>
      <vt:variant>
        <vt:i4>1245240</vt:i4>
      </vt:variant>
      <vt:variant>
        <vt:i4>2</vt:i4>
      </vt:variant>
      <vt:variant>
        <vt:i4>0</vt:i4>
      </vt:variant>
      <vt:variant>
        <vt:i4>5</vt:i4>
      </vt:variant>
      <vt:variant>
        <vt:lpwstr/>
      </vt:variant>
      <vt:variant>
        <vt:lpwstr>_Toc239137010</vt:lpwstr>
      </vt:variant>
      <vt:variant>
        <vt:i4>4194363</vt:i4>
      </vt:variant>
      <vt:variant>
        <vt:i4>0</vt:i4>
      </vt:variant>
      <vt:variant>
        <vt:i4>0</vt:i4>
      </vt:variant>
      <vt:variant>
        <vt:i4>5</vt:i4>
      </vt:variant>
      <vt:variant>
        <vt:lpwstr>mailto:marcaffera@um.edu.uy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INDUSTRIAL WATER POLLUTION CONTROL POLICY IN MONTEVIDEO </dc:title>
  <dc:subject/>
  <dc:creator>marcaffera</dc:creator>
  <cp:keywords/>
  <dc:description/>
  <cp:lastModifiedBy>marcaffera</cp:lastModifiedBy>
  <cp:revision>158</cp:revision>
  <cp:lastPrinted>2008-11-24T14:37:00Z</cp:lastPrinted>
  <dcterms:created xsi:type="dcterms:W3CDTF">2009-10-29T17:05:00Z</dcterms:created>
  <dcterms:modified xsi:type="dcterms:W3CDTF">2009-10-31T18:01:00Z</dcterms:modified>
</cp:coreProperties>
</file>