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FB" w:rsidRDefault="006A5793">
      <w:pPr>
        <w:rPr>
          <w:b/>
          <w:u w:val="single"/>
        </w:rPr>
      </w:pPr>
      <w:r w:rsidRPr="006A5793">
        <w:rPr>
          <w:b/>
          <w:u w:val="single"/>
        </w:rPr>
        <w:t xml:space="preserve">Charla con Carlos vía </w:t>
      </w:r>
      <w:proofErr w:type="spellStart"/>
      <w:r w:rsidRPr="006A5793">
        <w:rPr>
          <w:b/>
          <w:u w:val="single"/>
        </w:rPr>
        <w:t>Skype</w:t>
      </w:r>
      <w:proofErr w:type="spellEnd"/>
      <w:r w:rsidRPr="006A5793">
        <w:rPr>
          <w:b/>
          <w:u w:val="single"/>
        </w:rPr>
        <w:t>, 15 de julio de 2011 –</w:t>
      </w:r>
      <w:r>
        <w:rPr>
          <w:b/>
          <w:u w:val="single"/>
        </w:rPr>
        <w:t xml:space="preserve"> Amherst</w:t>
      </w:r>
    </w:p>
    <w:p w:rsidR="006A5793" w:rsidRDefault="004B6034" w:rsidP="004B6034">
      <w:pPr>
        <w:pStyle w:val="Prrafodelista"/>
        <w:numPr>
          <w:ilvl w:val="0"/>
          <w:numId w:val="2"/>
        </w:numPr>
      </w:pPr>
      <w:r>
        <w:t xml:space="preserve">Según CC, John y </w:t>
      </w:r>
      <w:proofErr w:type="spellStart"/>
      <w:r>
        <w:t>Jim</w:t>
      </w:r>
      <w:proofErr w:type="spellEnd"/>
      <w:r>
        <w:t xml:space="preserve"> hacen una hipótesis por cada instrumento y diseño. Esto podría servir como guía para escribirlas.</w:t>
      </w:r>
    </w:p>
    <w:p w:rsidR="004B6034" w:rsidRPr="006A5793" w:rsidRDefault="004B6034" w:rsidP="004B6034">
      <w:pPr>
        <w:pStyle w:val="Prrafodelista"/>
        <w:numPr>
          <w:ilvl w:val="0"/>
          <w:numId w:val="2"/>
        </w:numPr>
      </w:pPr>
      <w:r>
        <w:t xml:space="preserve">Una redacción alternativa de la hipótesis 1 tal cual la tenemos escrita ahora sería: “las decisiones de violar o no son independientes (permisos) / dependientes (estándares) de los costos de la firma y </w:t>
      </w:r>
      <w:bookmarkStart w:id="0" w:name="_GoBack"/>
      <w:r w:rsidRPr="004B6034">
        <w:rPr>
          <w:u w:val="single"/>
        </w:rPr>
        <w:t>no</w:t>
      </w:r>
      <w:bookmarkEnd w:id="0"/>
      <w:r>
        <w:t xml:space="preserve"> dependen de la estructura de la multa.</w:t>
      </w:r>
    </w:p>
    <w:p w:rsidR="00C75041" w:rsidRDefault="00C75041">
      <w:pPr>
        <w:rPr>
          <w:u w:val="single"/>
        </w:rPr>
      </w:pPr>
      <w:r w:rsidRPr="00C75041">
        <w:rPr>
          <w:b/>
          <w:u w:val="single"/>
        </w:rPr>
        <w:t>Hipótesis 1</w:t>
      </w:r>
      <w:r>
        <w:rPr>
          <w:b/>
          <w:u w:val="single"/>
        </w:rPr>
        <w:t xml:space="preserve">: </w:t>
      </w:r>
      <w:r w:rsidRPr="00C75041">
        <w:rPr>
          <w:u w:val="single"/>
        </w:rPr>
        <w:t xml:space="preserve">la decisión de </w:t>
      </w:r>
      <w:r w:rsidR="003E731A">
        <w:rPr>
          <w:u w:val="single"/>
        </w:rPr>
        <w:t>cumplir/</w:t>
      </w:r>
      <w:r w:rsidRPr="00C75041">
        <w:rPr>
          <w:u w:val="single"/>
        </w:rPr>
        <w:t xml:space="preserve">incumplir </w:t>
      </w:r>
      <w:r w:rsidR="003E731A">
        <w:rPr>
          <w:u w:val="single"/>
        </w:rPr>
        <w:t xml:space="preserve">depende de la comparación entre el BM y el CM;  </w:t>
      </w:r>
      <w:r w:rsidRPr="00C75041">
        <w:rPr>
          <w:u w:val="single"/>
        </w:rPr>
        <w:t>es invariante a la estructura de la multa y el instrumento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47D32" w:rsidTr="00E47D32">
        <w:tc>
          <w:tcPr>
            <w:tcW w:w="4322" w:type="dxa"/>
          </w:tcPr>
          <w:p w:rsidR="00E47D32" w:rsidRPr="00E47D32" w:rsidRDefault="00E47D32" w:rsidP="00E47D32">
            <w:pPr>
              <w:jc w:val="center"/>
            </w:pPr>
            <w:proofErr w:type="spellStart"/>
            <w:r w:rsidRPr="00E47D32">
              <w:t>Market</w:t>
            </w:r>
            <w:proofErr w:type="spellEnd"/>
          </w:p>
        </w:tc>
        <w:tc>
          <w:tcPr>
            <w:tcW w:w="4322" w:type="dxa"/>
          </w:tcPr>
          <w:p w:rsidR="00E47D32" w:rsidRPr="008D2075" w:rsidRDefault="008D2075" w:rsidP="00E47D32">
            <w:pPr>
              <w:jc w:val="center"/>
              <w:rPr>
                <w:u w:val="single"/>
              </w:rPr>
            </w:pPr>
            <w:r w:rsidRPr="008D2075">
              <w:rPr>
                <w:u w:val="single"/>
              </w:rPr>
              <w:t>Forma de la función de multas</w:t>
            </w:r>
          </w:p>
        </w:tc>
      </w:tr>
      <w:tr w:rsidR="00E47D32" w:rsidTr="00E47D32">
        <w:tc>
          <w:tcPr>
            <w:tcW w:w="4322" w:type="dxa"/>
          </w:tcPr>
          <w:p w:rsidR="00E47D32" w:rsidRPr="00E47D32" w:rsidRDefault="00DC7D5A" w:rsidP="00E47D32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  <w:r w:rsidR="00E47D32" w:rsidRPr="00E47D32">
              <w:t xml:space="preserve"> - INDUCE VIOLACIONES</w:t>
            </w:r>
          </w:p>
        </w:tc>
        <w:tc>
          <w:tcPr>
            <w:tcW w:w="4322" w:type="dxa"/>
          </w:tcPr>
          <w:p w:rsidR="00E47D32" w:rsidRPr="00E47D32" w:rsidRDefault="00E47D32" w:rsidP="00E47D32">
            <w:pPr>
              <w:jc w:val="center"/>
            </w:pPr>
            <w:r w:rsidRPr="00E47D32">
              <w:rPr>
                <w:i/>
              </w:rPr>
              <w:t>f’</w:t>
            </w:r>
            <w:r w:rsidRPr="00E47D32">
              <w:t xml:space="preserve"> lineal</w:t>
            </w:r>
          </w:p>
        </w:tc>
      </w:tr>
      <w:tr w:rsidR="00E47D32" w:rsidTr="00E47D32">
        <w:tc>
          <w:tcPr>
            <w:tcW w:w="4322" w:type="dxa"/>
          </w:tcPr>
          <w:p w:rsidR="00E47D32" w:rsidRPr="00E47D32" w:rsidRDefault="00DC7D5A" w:rsidP="00BC2D4B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 w:rsidR="00BC2D4B">
              <w:t xml:space="preserve"> - INDUCE CUMPLIMIENTO</w:t>
            </w:r>
          </w:p>
        </w:tc>
        <w:tc>
          <w:tcPr>
            <w:tcW w:w="4322" w:type="dxa"/>
          </w:tcPr>
          <w:p w:rsidR="00E47D32" w:rsidRPr="00BC2D4B" w:rsidRDefault="00BC2D4B" w:rsidP="00BC2D4B">
            <w:pPr>
              <w:jc w:val="center"/>
            </w:pPr>
            <w:r>
              <w:rPr>
                <w:i/>
              </w:rPr>
              <w:t xml:space="preserve">f’ </w:t>
            </w:r>
            <w:r>
              <w:t>creciente</w:t>
            </w:r>
          </w:p>
        </w:tc>
      </w:tr>
      <w:tr w:rsidR="00B15E5D" w:rsidTr="00961BC0">
        <w:tc>
          <w:tcPr>
            <w:tcW w:w="8644" w:type="dxa"/>
            <w:gridSpan w:val="2"/>
          </w:tcPr>
          <w:p w:rsidR="00B15E5D" w:rsidRDefault="00B15E5D" w:rsidP="00B15E5D">
            <w:r>
              <w:t xml:space="preserve">                                 </w:t>
            </w:r>
            <w:proofErr w:type="spellStart"/>
            <w:r>
              <w:t>Standards</w:t>
            </w:r>
            <w:proofErr w:type="spellEnd"/>
            <w:r>
              <w:t xml:space="preserve">  </w:t>
            </w:r>
          </w:p>
          <w:p w:rsidR="00B15E5D" w:rsidRPr="00E47D32" w:rsidRDefault="00B15E5D" w:rsidP="00B15E5D">
            <w:r>
              <w:t>(en principio estándares individuales (por tipo) es más conveniente para cálculos posteriores)</w:t>
            </w:r>
          </w:p>
        </w:tc>
      </w:tr>
      <w:tr w:rsidR="008D2075" w:rsidTr="00E47D32">
        <w:tc>
          <w:tcPr>
            <w:tcW w:w="4322" w:type="dxa"/>
          </w:tcPr>
          <w:p w:rsidR="008D2075" w:rsidRPr="00E47D32" w:rsidRDefault="00DC7D5A" w:rsidP="008A1083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  <w:r w:rsidR="008D2075" w:rsidRPr="00E47D32">
              <w:t xml:space="preserve"> - INDUCE VIOLACIONES</w:t>
            </w:r>
          </w:p>
        </w:tc>
        <w:tc>
          <w:tcPr>
            <w:tcW w:w="4322" w:type="dxa"/>
          </w:tcPr>
          <w:p w:rsidR="008D2075" w:rsidRPr="00E47D32" w:rsidRDefault="008D2075" w:rsidP="008A1083">
            <w:pPr>
              <w:jc w:val="center"/>
            </w:pPr>
            <w:r w:rsidRPr="00E47D32">
              <w:rPr>
                <w:i/>
              </w:rPr>
              <w:t>f’</w:t>
            </w:r>
            <w:r w:rsidRPr="00E47D32">
              <w:t xml:space="preserve"> lineal</w:t>
            </w:r>
          </w:p>
        </w:tc>
      </w:tr>
      <w:tr w:rsidR="008D2075" w:rsidTr="00E47D32">
        <w:tc>
          <w:tcPr>
            <w:tcW w:w="4322" w:type="dxa"/>
          </w:tcPr>
          <w:p w:rsidR="008D2075" w:rsidRPr="00E47D32" w:rsidRDefault="00DC7D5A" w:rsidP="008A1083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 w:rsidR="008D2075">
              <w:t xml:space="preserve"> - INDUCE CUMPLIMIENTO</w:t>
            </w:r>
          </w:p>
        </w:tc>
        <w:tc>
          <w:tcPr>
            <w:tcW w:w="4322" w:type="dxa"/>
          </w:tcPr>
          <w:p w:rsidR="008D2075" w:rsidRPr="00BC2D4B" w:rsidRDefault="008D2075" w:rsidP="008A1083">
            <w:pPr>
              <w:jc w:val="center"/>
            </w:pPr>
            <w:r>
              <w:rPr>
                <w:i/>
              </w:rPr>
              <w:t xml:space="preserve">f’ </w:t>
            </w:r>
            <w:r>
              <w:t>creciente</w:t>
            </w:r>
          </w:p>
        </w:tc>
      </w:tr>
    </w:tbl>
    <w:p w:rsidR="00E47D32" w:rsidRDefault="00E47D32" w:rsidP="00E47D32">
      <w:pPr>
        <w:jc w:val="center"/>
        <w:rPr>
          <w:b/>
          <w:u w:val="single"/>
        </w:rPr>
      </w:pPr>
    </w:p>
    <w:p w:rsidR="00600E33" w:rsidRDefault="00600E33" w:rsidP="00600E33">
      <w:pPr>
        <w:jc w:val="both"/>
      </w:pPr>
      <w:r w:rsidRPr="00600E33">
        <w:t xml:space="preserve">4 </w:t>
      </w:r>
      <w:proofErr w:type="spellStart"/>
      <w:r w:rsidRPr="00600E33">
        <w:t>treatments</w:t>
      </w:r>
      <w:proofErr w:type="spellEnd"/>
      <w:r w:rsidRPr="00600E33">
        <w:t xml:space="preserve"> para mercados de permisos</w:t>
      </w:r>
    </w:p>
    <w:p w:rsidR="00600E33" w:rsidRDefault="00600E33" w:rsidP="00600E33">
      <w:pPr>
        <w:jc w:val="both"/>
      </w:pPr>
      <w:r>
        <w:t xml:space="preserve">4 </w:t>
      </w:r>
      <w:proofErr w:type="spellStart"/>
      <w:r>
        <w:t>treatments</w:t>
      </w:r>
      <w:proofErr w:type="spellEnd"/>
      <w:r>
        <w:t xml:space="preserve"> para estándares</w:t>
      </w:r>
    </w:p>
    <w:p w:rsidR="00600E33" w:rsidRDefault="00600E33" w:rsidP="00600E33">
      <w:pPr>
        <w:jc w:val="both"/>
      </w:pPr>
      <w:r>
        <w:t>2 tipos de costos (H y L)</w:t>
      </w:r>
    </w:p>
    <w:p w:rsidR="00600E33" w:rsidRPr="00E8150E" w:rsidRDefault="00E8150E" w:rsidP="00600E33">
      <w:pPr>
        <w:jc w:val="both"/>
        <w:rPr>
          <w:b/>
          <w:u w:val="single"/>
        </w:rPr>
      </w:pPr>
      <w:r>
        <w:rPr>
          <w:b/>
          <w:u w:val="single"/>
        </w:rPr>
        <w:t>Test</w:t>
      </w:r>
    </w:p>
    <w:p w:rsidR="00C75041" w:rsidRPr="00E8150E" w:rsidRDefault="00E8150E">
      <w:r w:rsidRPr="00E8150E">
        <w:t>Estándares</w:t>
      </w:r>
    </w:p>
    <w:p w:rsidR="00856FE9" w:rsidRDefault="00DC7D5A" w:rsidP="00856FE9"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stds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stds</m:t>
            </m:r>
          </m:sup>
        </m:sSubSup>
        <m:r>
          <w:rPr>
            <w:rFonts w:ascii="Cambria Math" w:hAnsi="Cambria Math"/>
          </w:rPr>
          <m:t>=0</m:t>
        </m:r>
      </m:oMath>
      <w:r w:rsidR="005E605E">
        <w:t xml:space="preserve"> (</w:t>
      </w:r>
      <w:proofErr w:type="gramStart"/>
      <w:r w:rsidR="005E605E">
        <w:t>cuando</w:t>
      </w:r>
      <w:proofErr w:type="gramEnd"/>
      <w:r w:rsidR="005E605E">
        <w:t xml:space="preserve"> inducimos cumplimiento</w:t>
      </w:r>
      <w:r w:rsidR="009A1189">
        <w:t xml:space="preserve"> con estándares</w:t>
      </w:r>
      <w:r w:rsidR="005E605E">
        <w:t>)</w:t>
      </w:r>
    </w:p>
    <w:p w:rsidR="005E605E" w:rsidRPr="000F6EC3" w:rsidRDefault="00DC7D5A" w:rsidP="00856FE9">
      <w:pPr>
        <w:rPr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pet</m:t>
            </m:r>
          </m:sup>
        </m:sSubSup>
        <m:r>
          <w:rPr>
            <w:rFonts w:ascii="Cambria Math" w:hAnsi="Cambria Math"/>
          </w:rPr>
          <m:t>&gt;0;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pet</m:t>
            </m:r>
          </m:sup>
        </m:sSubSup>
        <m:r>
          <w:rPr>
            <w:rFonts w:ascii="Cambria Math" w:hAnsi="Cambria Math"/>
          </w:rPr>
          <m:t>&gt;0</m:t>
        </m:r>
      </m:oMath>
      <w:proofErr w:type="gramStart"/>
      <w:r w:rsidR="009A1189">
        <w:t xml:space="preserve">;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pet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sub>
          <m:sup>
            <m:r>
              <w:rPr>
                <w:rFonts w:ascii="Cambria Math" w:hAnsi="Cambria Math"/>
              </w:rPr>
              <m:t>pet</m:t>
            </m:r>
          </m:sup>
        </m:sSubSup>
      </m:oMath>
      <w:r w:rsidR="009A1189">
        <w:t>, si</w:t>
      </w:r>
      <w:proofErr w:type="gramEnd"/>
      <w:r w:rsidR="009A1189">
        <w:t xml:space="preserve"> construimos tal que son iguales.</w:t>
      </w:r>
      <w:r w:rsidR="00D37B01">
        <w:t xml:space="preserve"> </w:t>
      </w:r>
      <w:r w:rsidR="00D37B01" w:rsidRPr="000F6EC3">
        <w:rPr>
          <w:lang w:val="en-US"/>
        </w:rPr>
        <w:t>(</w:t>
      </w:r>
      <w:proofErr w:type="spellStart"/>
      <w:proofErr w:type="gramStart"/>
      <w:r w:rsidR="00D37B01" w:rsidRPr="000F6EC3">
        <w:rPr>
          <w:lang w:val="en-US"/>
        </w:rPr>
        <w:t>cuando</w:t>
      </w:r>
      <w:proofErr w:type="spellEnd"/>
      <w:proofErr w:type="gramEnd"/>
      <w:r w:rsidR="00D37B01" w:rsidRPr="000F6EC3">
        <w:rPr>
          <w:lang w:val="en-US"/>
        </w:rPr>
        <w:t xml:space="preserve"> </w:t>
      </w:r>
      <w:proofErr w:type="spellStart"/>
      <w:r w:rsidR="00D37B01" w:rsidRPr="000F6EC3">
        <w:rPr>
          <w:lang w:val="en-US"/>
        </w:rPr>
        <w:t>inducimos</w:t>
      </w:r>
      <w:proofErr w:type="spellEnd"/>
      <w:r w:rsidR="00D37B01" w:rsidRPr="000F6EC3">
        <w:rPr>
          <w:lang w:val="en-US"/>
        </w:rPr>
        <w:t xml:space="preserve"> </w:t>
      </w:r>
      <w:proofErr w:type="spellStart"/>
      <w:r w:rsidR="00D37B01" w:rsidRPr="000F6EC3">
        <w:rPr>
          <w:lang w:val="en-US"/>
        </w:rPr>
        <w:t>violaciones</w:t>
      </w:r>
      <w:proofErr w:type="spellEnd"/>
      <w:r w:rsidR="00D37B01" w:rsidRPr="000F6EC3">
        <w:rPr>
          <w:lang w:val="en-US"/>
        </w:rPr>
        <w:t xml:space="preserve"> con </w:t>
      </w:r>
      <w:proofErr w:type="spellStart"/>
      <w:r w:rsidR="00D37B01" w:rsidRPr="000F6EC3">
        <w:rPr>
          <w:lang w:val="en-US"/>
        </w:rPr>
        <w:t>permisos</w:t>
      </w:r>
      <w:proofErr w:type="spellEnd"/>
      <w:r w:rsidR="00D37B01" w:rsidRPr="000F6EC3">
        <w:rPr>
          <w:lang w:val="en-US"/>
        </w:rPr>
        <w:t>)</w:t>
      </w:r>
    </w:p>
    <w:p w:rsidR="009A1189" w:rsidRPr="000F6EC3" w:rsidRDefault="009A1189" w:rsidP="00856FE9">
      <w:pPr>
        <w:rPr>
          <w:lang w:val="en-US"/>
        </w:rPr>
      </w:pPr>
      <w:proofErr w:type="gramStart"/>
      <w:r w:rsidRPr="000F6EC3">
        <w:rPr>
          <w:lang w:val="en-US"/>
        </w:rPr>
        <w:t xml:space="preserve">Y </w:t>
      </w:r>
      <w:proofErr w:type="spellStart"/>
      <w:r w:rsidRPr="000F6EC3">
        <w:rPr>
          <w:lang w:val="en-US"/>
        </w:rPr>
        <w:t>así</w:t>
      </w:r>
      <w:proofErr w:type="spellEnd"/>
      <w:r w:rsidRPr="000F6EC3">
        <w:rPr>
          <w:lang w:val="en-US"/>
        </w:rPr>
        <w:t xml:space="preserve"> </w:t>
      </w:r>
      <w:proofErr w:type="spellStart"/>
      <w:r w:rsidRPr="000F6EC3">
        <w:rPr>
          <w:lang w:val="en-US"/>
        </w:rPr>
        <w:t>sucesivamente</w:t>
      </w:r>
      <w:proofErr w:type="spellEnd"/>
      <w:r w:rsidRPr="000F6EC3">
        <w:rPr>
          <w:lang w:val="en-US"/>
        </w:rPr>
        <w:t>.</w:t>
      </w:r>
      <w:proofErr w:type="gramEnd"/>
    </w:p>
    <w:p w:rsidR="00B22410" w:rsidRPr="000F6EC3" w:rsidRDefault="00B22410" w:rsidP="00856FE9">
      <w:pPr>
        <w:rPr>
          <w:lang w:val="en-US"/>
        </w:rPr>
      </w:pPr>
    </w:p>
    <w:p w:rsidR="00B22410" w:rsidRPr="000F6EC3" w:rsidRDefault="00B22410" w:rsidP="00856FE9">
      <w:pPr>
        <w:rPr>
          <w:lang w:val="en-US"/>
        </w:rPr>
      </w:pPr>
      <w:proofErr w:type="spellStart"/>
      <w:r w:rsidRPr="000F6EC3">
        <w:rPr>
          <w:b/>
          <w:u w:val="single"/>
          <w:lang w:val="en-US"/>
        </w:rPr>
        <w:t>Hipótesis</w:t>
      </w:r>
      <w:proofErr w:type="spellEnd"/>
      <w:r w:rsidRPr="000F6EC3">
        <w:rPr>
          <w:b/>
          <w:u w:val="single"/>
          <w:lang w:val="en-US"/>
        </w:rPr>
        <w:t xml:space="preserve"> 2:</w:t>
      </w:r>
      <w:r w:rsidRPr="000F6EC3">
        <w:rPr>
          <w:lang w:val="en-US"/>
        </w:rPr>
        <w:t xml:space="preserve"> </w:t>
      </w:r>
      <w:r w:rsidR="000F6EC3" w:rsidRPr="000F6EC3">
        <w:rPr>
          <w:lang w:val="en-US"/>
        </w:rPr>
        <w:t>The regulator can maintain the same level of violation changing the structure of the penalt</w:t>
      </w:r>
      <w:r w:rsidR="000F6EC3">
        <w:rPr>
          <w:lang w:val="en-US"/>
        </w:rPr>
        <w:t>y</w:t>
      </w:r>
      <w:r w:rsidR="000F6EC3" w:rsidRPr="000F6EC3">
        <w:rPr>
          <w:lang w:val="en-US"/>
        </w:rPr>
        <w:t xml:space="preserve"> </w:t>
      </w:r>
      <w:r w:rsidR="000F6EC3">
        <w:rPr>
          <w:lang w:val="en-US"/>
        </w:rPr>
        <w:t>function (changing the slope); with permits and standards.</w:t>
      </w:r>
    </w:p>
    <w:tbl>
      <w:tblPr>
        <w:tblStyle w:val="Tablaconcuadrcula"/>
        <w:tblW w:w="8880" w:type="dxa"/>
        <w:tblLook w:val="04A0" w:firstRow="1" w:lastRow="0" w:firstColumn="1" w:lastColumn="0" w:noHBand="0" w:noVBand="1"/>
      </w:tblPr>
      <w:tblGrid>
        <w:gridCol w:w="4558"/>
        <w:gridCol w:w="4322"/>
      </w:tblGrid>
      <w:tr w:rsidR="00B22410" w:rsidTr="00B22410">
        <w:tc>
          <w:tcPr>
            <w:tcW w:w="4558" w:type="dxa"/>
          </w:tcPr>
          <w:p w:rsidR="00B22410" w:rsidRPr="00E47D32" w:rsidRDefault="00B22410" w:rsidP="008A1083">
            <w:pPr>
              <w:jc w:val="center"/>
            </w:pPr>
            <w:proofErr w:type="spellStart"/>
            <w:r w:rsidRPr="00E47D32">
              <w:t>Market</w:t>
            </w:r>
            <w:proofErr w:type="spellEnd"/>
          </w:p>
        </w:tc>
        <w:tc>
          <w:tcPr>
            <w:tcW w:w="4322" w:type="dxa"/>
          </w:tcPr>
          <w:p w:rsidR="00B22410" w:rsidRPr="008D2075" w:rsidRDefault="00B22410" w:rsidP="008A1083">
            <w:pPr>
              <w:jc w:val="center"/>
              <w:rPr>
                <w:u w:val="single"/>
              </w:rPr>
            </w:pPr>
            <w:r w:rsidRPr="008D2075">
              <w:rPr>
                <w:u w:val="single"/>
              </w:rPr>
              <w:t>Forma de la función de multas</w:t>
            </w:r>
          </w:p>
        </w:tc>
      </w:tr>
      <w:tr w:rsidR="004B610B" w:rsidTr="00B22410">
        <w:tc>
          <w:tcPr>
            <w:tcW w:w="4558" w:type="dxa"/>
          </w:tcPr>
          <w:p w:rsidR="004B610B" w:rsidRPr="00E47D32" w:rsidRDefault="00DC7D5A" w:rsidP="00B22410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creciente</m:t>
                </m:r>
              </m:oMath>
            </m:oMathPara>
          </w:p>
        </w:tc>
        <w:tc>
          <w:tcPr>
            <w:tcW w:w="4322" w:type="dxa"/>
            <w:vMerge w:val="restart"/>
          </w:tcPr>
          <w:p w:rsidR="004B610B" w:rsidRPr="004B610B" w:rsidRDefault="004B610B" w:rsidP="00572A50">
            <w:pPr>
              <w:jc w:val="center"/>
            </w:pPr>
            <w:r w:rsidRPr="004B610B">
              <w:t>Al tratamiento</w:t>
            </w:r>
            <w:r>
              <w:t xml:space="preserve"> de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(π×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oMath>
            <w:r w:rsidR="007A2ADD">
              <w:t xml:space="preserve"> que induce violaciones con f’ creciente le sumamos otro tratamientos donde </w:t>
            </w:r>
            <w:r w:rsidR="00572A50">
              <w:t>hacemos</w:t>
            </w:r>
            <w:r w:rsidR="007A2ADD">
              <w:t xml:space="preserve"> f’ </w:t>
            </w:r>
            <w:r w:rsidR="00572A50">
              <w:t xml:space="preserve">flat </w:t>
            </w:r>
            <w:r w:rsidR="007A2ADD">
              <w:t>e inducimos la misma violación</w:t>
            </w:r>
          </w:p>
        </w:tc>
      </w:tr>
      <w:tr w:rsidR="004B610B" w:rsidTr="00B22410">
        <w:tc>
          <w:tcPr>
            <w:tcW w:w="4558" w:type="dxa"/>
          </w:tcPr>
          <w:p w:rsidR="004B610B" w:rsidRPr="00E47D32" w:rsidRDefault="00DC7D5A" w:rsidP="004B610B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creciente</m:t>
                </m:r>
              </m:oMath>
            </m:oMathPara>
          </w:p>
        </w:tc>
        <w:tc>
          <w:tcPr>
            <w:tcW w:w="4322" w:type="dxa"/>
            <w:vMerge/>
          </w:tcPr>
          <w:p w:rsidR="004B610B" w:rsidRPr="00BC2D4B" w:rsidRDefault="004B610B" w:rsidP="008A1083">
            <w:pPr>
              <w:jc w:val="center"/>
            </w:pPr>
          </w:p>
        </w:tc>
      </w:tr>
      <w:tr w:rsidR="004B610B" w:rsidTr="00B22410">
        <w:tc>
          <w:tcPr>
            <w:tcW w:w="4558" w:type="dxa"/>
          </w:tcPr>
          <w:p w:rsidR="004B610B" w:rsidRPr="00E47D32" w:rsidRDefault="004B610B" w:rsidP="004B610B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Standards</w:t>
            </w:r>
            <w:proofErr w:type="spellEnd"/>
          </w:p>
        </w:tc>
        <w:tc>
          <w:tcPr>
            <w:tcW w:w="4322" w:type="dxa"/>
            <w:vMerge/>
          </w:tcPr>
          <w:p w:rsidR="004B610B" w:rsidRDefault="004B610B" w:rsidP="008A1083">
            <w:pPr>
              <w:jc w:val="center"/>
              <w:rPr>
                <w:i/>
              </w:rPr>
            </w:pPr>
          </w:p>
        </w:tc>
      </w:tr>
      <w:tr w:rsidR="004B610B" w:rsidTr="00B22410">
        <w:tc>
          <w:tcPr>
            <w:tcW w:w="4558" w:type="dxa"/>
          </w:tcPr>
          <w:p w:rsidR="004B610B" w:rsidRPr="00E47D32" w:rsidRDefault="00DC7D5A" w:rsidP="008A108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creciente</m:t>
                </m:r>
              </m:oMath>
            </m:oMathPara>
          </w:p>
        </w:tc>
        <w:tc>
          <w:tcPr>
            <w:tcW w:w="4322" w:type="dxa"/>
            <w:vMerge/>
          </w:tcPr>
          <w:p w:rsidR="004B610B" w:rsidRPr="00E47D32" w:rsidRDefault="004B610B" w:rsidP="008A1083">
            <w:pPr>
              <w:jc w:val="center"/>
            </w:pPr>
          </w:p>
        </w:tc>
      </w:tr>
      <w:tr w:rsidR="004B610B" w:rsidTr="00B22410">
        <w:tc>
          <w:tcPr>
            <w:tcW w:w="4558" w:type="dxa"/>
          </w:tcPr>
          <w:p w:rsidR="004B610B" w:rsidRPr="00E47D32" w:rsidRDefault="00DC7D5A" w:rsidP="008A1083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(π×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π×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H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γ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creciente</m:t>
                </m:r>
              </m:oMath>
            </m:oMathPara>
          </w:p>
        </w:tc>
        <w:tc>
          <w:tcPr>
            <w:tcW w:w="4322" w:type="dxa"/>
            <w:vMerge/>
          </w:tcPr>
          <w:p w:rsidR="004B610B" w:rsidRPr="00BC2D4B" w:rsidRDefault="004B610B" w:rsidP="008A1083">
            <w:pPr>
              <w:jc w:val="center"/>
            </w:pPr>
          </w:p>
        </w:tc>
      </w:tr>
    </w:tbl>
    <w:p w:rsidR="00B22410" w:rsidRPr="00B22410" w:rsidRDefault="00B22410" w:rsidP="00B22410">
      <w:pPr>
        <w:jc w:val="center"/>
      </w:pPr>
    </w:p>
    <w:p w:rsidR="00C75041" w:rsidRDefault="00B43275">
      <w:r>
        <w:lastRenderedPageBreak/>
        <w:t>Todas violan por construcción.</w:t>
      </w:r>
    </w:p>
    <w:p w:rsidR="00B43275" w:rsidRDefault="00B43275">
      <w:r>
        <w:t>Le agregamos dos tratamientos más.</w:t>
      </w:r>
    </w:p>
    <w:p w:rsidR="00B43275" w:rsidRDefault="00B43275"/>
    <w:p w:rsidR="006003AE" w:rsidRDefault="006003AE"/>
    <w:p w:rsidR="006003AE" w:rsidRDefault="006003AE"/>
    <w:p w:rsidR="00C75041" w:rsidRPr="00473398" w:rsidRDefault="006003AE">
      <w:pPr>
        <w:rPr>
          <w:b/>
          <w:lang w:val="en-US"/>
        </w:rPr>
      </w:pPr>
      <w:proofErr w:type="spellStart"/>
      <w:r w:rsidRPr="00473398">
        <w:rPr>
          <w:b/>
          <w:u w:val="single"/>
          <w:lang w:val="en-US"/>
        </w:rPr>
        <w:t>Hipótesis</w:t>
      </w:r>
      <w:proofErr w:type="spellEnd"/>
      <w:r w:rsidRPr="00473398">
        <w:rPr>
          <w:b/>
          <w:u w:val="single"/>
          <w:lang w:val="en-US"/>
        </w:rPr>
        <w:t xml:space="preserve"> 3:</w:t>
      </w:r>
      <w:r w:rsidR="00473398" w:rsidRPr="00473398">
        <w:rPr>
          <w:b/>
          <w:lang w:val="en-US"/>
        </w:rPr>
        <w:t xml:space="preserve"> </w:t>
      </w:r>
      <w:r w:rsidR="00473398" w:rsidRPr="00473398">
        <w:rPr>
          <w:lang w:val="en-US"/>
        </w:rPr>
        <w:t>With standards, star</w:t>
      </w:r>
      <w:r w:rsidR="00577559">
        <w:rPr>
          <w:lang w:val="en-US"/>
        </w:rPr>
        <w:t>t</w:t>
      </w:r>
      <w:r w:rsidR="00473398" w:rsidRPr="00473398">
        <w:rPr>
          <w:lang w:val="en-US"/>
        </w:rPr>
        <w:t xml:space="preserve">ing from complete compliance and an increasing marginal penalty, the regulator can </w:t>
      </w:r>
      <w:r w:rsidR="00473398">
        <w:rPr>
          <w:lang w:val="en-US"/>
        </w:rPr>
        <w:t>maintain the level of emissions constant by decreasing the standard and the monitoring probability accordingly (but inducing violation).</w:t>
      </w:r>
    </w:p>
    <w:p w:rsidR="006003AE" w:rsidRPr="00473398" w:rsidRDefault="006003AE">
      <w:pPr>
        <w:rPr>
          <w:b/>
          <w:u w:val="single"/>
          <w:lang w:val="en-US"/>
        </w:rPr>
      </w:pPr>
    </w:p>
    <w:p w:rsidR="006003AE" w:rsidRDefault="006003AE">
      <w:r>
        <w:t xml:space="preserve">Podemos tomar el tratamiento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(π×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t xml:space="preserve"> con f’ creciente y bajar s y </w:t>
      </w:r>
      <m:oMath>
        <m:r>
          <w:rPr>
            <w:rFonts w:ascii="Cambria Math" w:hAnsi="Cambria Math"/>
          </w:rPr>
          <m:t>π</m:t>
        </m:r>
      </m:oMath>
      <w:r>
        <w:t xml:space="preserve"> tal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no cambie.</w:t>
      </w:r>
    </w:p>
    <w:p w:rsidR="006003AE" w:rsidRDefault="006003AE">
      <w:r>
        <w:t>Algo como:</w:t>
      </w:r>
    </w:p>
    <w:p w:rsidR="006003AE" w:rsidRDefault="00DC7D5A" w:rsidP="006003A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(π×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φ+γ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φ+γ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d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e>
            </m:mr>
          </m:m>
        </m:oMath>
      </m:oMathPara>
    </w:p>
    <w:p w:rsidR="00BB14AD" w:rsidRDefault="00BB14AD" w:rsidP="006003AE">
      <w:pPr>
        <w:jc w:val="center"/>
      </w:pPr>
    </w:p>
    <w:p w:rsidR="00BB14AD" w:rsidRDefault="00BB14AD" w:rsidP="00BB14AD">
      <w:pPr>
        <w:jc w:val="both"/>
      </w:pPr>
      <w:r>
        <w:t>Un tratamiento adicional.</w:t>
      </w:r>
    </w:p>
    <w:p w:rsidR="00BB14AD" w:rsidRDefault="00BB14AD" w:rsidP="00BB14AD">
      <w:pPr>
        <w:jc w:val="both"/>
      </w:pPr>
    </w:p>
    <w:p w:rsidR="00BB14AD" w:rsidRDefault="00BB14AD" w:rsidP="00BB14AD">
      <w:pPr>
        <w:jc w:val="both"/>
        <w:rPr>
          <w:b/>
          <w:u w:val="single"/>
        </w:rPr>
      </w:pPr>
      <w:r>
        <w:rPr>
          <w:b/>
          <w:u w:val="single"/>
        </w:rPr>
        <w:t>Hipótesis 4</w:t>
      </w:r>
    </w:p>
    <w:p w:rsidR="00BB14AD" w:rsidRDefault="00BB14AD" w:rsidP="00BB14AD">
      <w:pPr>
        <w:jc w:val="both"/>
      </w:pPr>
      <w:r>
        <w:t xml:space="preserve">Un tratamiento adicional al caso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(π×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86318E">
        <w:t xml:space="preserve"> para el caso del mercado.</w:t>
      </w:r>
    </w:p>
    <w:p w:rsidR="0086318E" w:rsidRDefault="0086318E" w:rsidP="00BB14AD">
      <w:pPr>
        <w:jc w:val="both"/>
      </w:pPr>
      <w:r>
        <w:t xml:space="preserve">Bajamos L (oferta de permisos) y </w:t>
      </w:r>
      <m:oMath>
        <m:r>
          <w:rPr>
            <w:rFonts w:ascii="Cambria Math" w:hAnsi="Cambria Math"/>
          </w:rPr>
          <m:t>π</m:t>
        </m:r>
      </m:oMath>
      <w:r>
        <w:t xml:space="preserve"> tal que el precio de equilibrio de los merados no varíe.</w:t>
      </w:r>
    </w:p>
    <w:p w:rsidR="0086318E" w:rsidRDefault="0086318E" w:rsidP="00BB14AD">
      <w:pPr>
        <w:jc w:val="both"/>
      </w:pPr>
      <w:r>
        <w:t>No me queda claro si concluimos que la situación inicial es violaciones o cumplimiento.</w:t>
      </w:r>
    </w:p>
    <w:p w:rsidR="0086318E" w:rsidRDefault="0086318E" w:rsidP="00BB14AD">
      <w:pPr>
        <w:jc w:val="both"/>
      </w:pPr>
    </w:p>
    <w:p w:rsidR="0086318E" w:rsidRPr="0086318E" w:rsidRDefault="0086318E" w:rsidP="0086318E">
      <w:pPr>
        <w:pStyle w:val="Prrafodelista"/>
        <w:numPr>
          <w:ilvl w:val="0"/>
          <w:numId w:val="1"/>
        </w:numPr>
        <w:jc w:val="both"/>
      </w:pPr>
      <w:r>
        <w:rPr>
          <w:b/>
          <w:u w:val="single"/>
        </w:rPr>
        <w:t>NOS QUEDAN 6 TRATAMIENTOS PARA CADA INSTRUMENTO</w:t>
      </w:r>
    </w:p>
    <w:p w:rsidR="0086318E" w:rsidRDefault="0086318E" w:rsidP="0086318E">
      <w:pPr>
        <w:jc w:val="both"/>
      </w:pPr>
    </w:p>
    <w:p w:rsidR="0086318E" w:rsidRPr="0086318E" w:rsidRDefault="0086318E" w:rsidP="0086318E">
      <w:pPr>
        <w:jc w:val="both"/>
        <w:rPr>
          <w:b/>
          <w:u w:val="single"/>
        </w:rPr>
      </w:pPr>
    </w:p>
    <w:sectPr w:rsidR="0086318E" w:rsidRPr="0086318E" w:rsidSect="001D3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7011D"/>
    <w:multiLevelType w:val="hybridMultilevel"/>
    <w:tmpl w:val="2D906492"/>
    <w:lvl w:ilvl="0" w:tplc="6212C3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97F45"/>
    <w:multiLevelType w:val="hybridMultilevel"/>
    <w:tmpl w:val="CECC2200"/>
    <w:lvl w:ilvl="0" w:tplc="596266EC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41"/>
    <w:rsid w:val="000F6EC3"/>
    <w:rsid w:val="001D3FFB"/>
    <w:rsid w:val="003E731A"/>
    <w:rsid w:val="00473398"/>
    <w:rsid w:val="004A4121"/>
    <w:rsid w:val="004B6034"/>
    <w:rsid w:val="004B610B"/>
    <w:rsid w:val="00572A50"/>
    <w:rsid w:val="00577559"/>
    <w:rsid w:val="005E605E"/>
    <w:rsid w:val="006003AE"/>
    <w:rsid w:val="00600E33"/>
    <w:rsid w:val="00616453"/>
    <w:rsid w:val="006A5793"/>
    <w:rsid w:val="00747175"/>
    <w:rsid w:val="007A2ADD"/>
    <w:rsid w:val="00856FE9"/>
    <w:rsid w:val="0086318E"/>
    <w:rsid w:val="008D2075"/>
    <w:rsid w:val="009A1189"/>
    <w:rsid w:val="00B15E5D"/>
    <w:rsid w:val="00B22410"/>
    <w:rsid w:val="00B43275"/>
    <w:rsid w:val="00BB14AD"/>
    <w:rsid w:val="00BC2D4B"/>
    <w:rsid w:val="00C75041"/>
    <w:rsid w:val="00D37B01"/>
    <w:rsid w:val="00D73CE6"/>
    <w:rsid w:val="00DC7D5A"/>
    <w:rsid w:val="00E47D32"/>
    <w:rsid w:val="00E8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7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47D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D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3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7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47D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D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marcaffera</dc:creator>
  <cp:lastModifiedBy>UDM</cp:lastModifiedBy>
  <cp:revision>2</cp:revision>
  <cp:lastPrinted>2011-07-06T16:59:00Z</cp:lastPrinted>
  <dcterms:created xsi:type="dcterms:W3CDTF">2011-07-21T22:02:00Z</dcterms:created>
  <dcterms:modified xsi:type="dcterms:W3CDTF">2011-07-21T22:02:00Z</dcterms:modified>
</cp:coreProperties>
</file>