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3C" w:rsidRPr="00714C3C" w:rsidRDefault="00714C3C" w:rsidP="00427E20">
      <w:pPr>
        <w:pStyle w:val="Ttulo"/>
        <w:ind w:firstLine="708"/>
      </w:pPr>
      <w:r>
        <w:rPr>
          <w:szCs w:val="44"/>
        </w:rPr>
        <w:tab/>
        <w:t xml:space="preserve">    </w:t>
      </w:r>
      <w:r>
        <w:rPr>
          <w:b w:val="0"/>
          <w:bCs w:val="0"/>
          <w:szCs w:val="44"/>
        </w:rPr>
        <w:t xml:space="preserve">           </w:t>
      </w:r>
      <w:r>
        <w:rPr>
          <w:szCs w:val="44"/>
        </w:rPr>
        <w:t xml:space="preserve">    </w:t>
      </w:r>
      <w:r>
        <w:rPr>
          <w:sz w:val="16"/>
          <w:szCs w:val="44"/>
        </w:rPr>
        <w:tab/>
      </w:r>
      <w:r>
        <w:rPr>
          <w:sz w:val="16"/>
          <w:szCs w:val="44"/>
        </w:rPr>
        <w:tab/>
      </w:r>
      <w:r>
        <w:rPr>
          <w:sz w:val="16"/>
          <w:szCs w:val="44"/>
        </w:rPr>
        <w:tab/>
      </w:r>
      <w:r>
        <w:rPr>
          <w:sz w:val="16"/>
          <w:szCs w:val="44"/>
        </w:rPr>
        <w:tab/>
      </w:r>
      <w:r>
        <w:rPr>
          <w:sz w:val="16"/>
          <w:szCs w:val="44"/>
        </w:rPr>
        <w:tab/>
      </w:r>
      <w:r>
        <w:rPr>
          <w:sz w:val="16"/>
          <w:szCs w:val="44"/>
        </w:rPr>
        <w:tab/>
      </w:r>
      <w:r>
        <w:rPr>
          <w:sz w:val="16"/>
          <w:szCs w:val="44"/>
        </w:rPr>
        <w:tab/>
      </w:r>
      <w:r>
        <w:t>June, 2009</w:t>
      </w:r>
    </w:p>
    <w:p w:rsidR="00714C3C" w:rsidRDefault="00714C3C" w:rsidP="00714C3C">
      <w:pPr>
        <w:pStyle w:val="Ttulo"/>
        <w:rPr>
          <w:sz w:val="16"/>
          <w:szCs w:val="44"/>
        </w:rPr>
      </w:pPr>
    </w:p>
    <w:p w:rsidR="00714C3C" w:rsidRPr="00714C3C" w:rsidRDefault="00714C3C" w:rsidP="00714C3C">
      <w:pPr>
        <w:pStyle w:val="Ttulo"/>
      </w:pPr>
    </w:p>
    <w:p w:rsidR="00714C3C" w:rsidRPr="00714C3C" w:rsidRDefault="00714C3C" w:rsidP="00714C3C">
      <w:pPr>
        <w:pStyle w:val="Ttulo"/>
      </w:pPr>
      <w:r w:rsidRPr="00714C3C">
        <w:rPr>
          <w:highlight w:val="yellow"/>
        </w:rPr>
        <w:t>Title?</w:t>
      </w:r>
    </w:p>
    <w:p w:rsidR="00714C3C" w:rsidRPr="00714C3C" w:rsidRDefault="00714C3C" w:rsidP="00714C3C">
      <w:pPr>
        <w:pStyle w:val="Ttulo"/>
      </w:pPr>
      <w:r>
        <w:t>Choosing</w:t>
      </w:r>
      <w:r w:rsidRPr="00714C3C">
        <w:t xml:space="preserve"> Policy Instruments to Control Po</w:t>
      </w:r>
      <w:r>
        <w:t xml:space="preserve">llution under Costly Monitoring, Sanctioning Costs and </w:t>
      </w:r>
      <w:r w:rsidRPr="00714C3C">
        <w:t>Incomplete Information</w:t>
      </w:r>
    </w:p>
    <w:p w:rsidR="00714C3C" w:rsidRPr="00714C3C" w:rsidRDefault="00714C3C" w:rsidP="00714C3C">
      <w:pPr>
        <w:pStyle w:val="Textodeglobo"/>
        <w:rPr>
          <w:rFonts w:ascii="Times New Roman" w:hAnsi="Times New Roman" w:cs="Times New Roman"/>
          <w:bCs/>
          <w:sz w:val="24"/>
          <w:szCs w:val="24"/>
          <w:lang w:val="en-GB"/>
        </w:rPr>
      </w:pPr>
    </w:p>
    <w:p w:rsidR="00714C3C" w:rsidRPr="00714C3C" w:rsidRDefault="00714C3C" w:rsidP="00714C3C">
      <w:pPr>
        <w:pStyle w:val="Textodeglobo"/>
        <w:rPr>
          <w:rFonts w:ascii="Times New Roman" w:hAnsi="Times New Roman" w:cs="Times New Roman"/>
          <w:bCs/>
          <w:sz w:val="24"/>
          <w:szCs w:val="24"/>
          <w:lang w:val="en-GB"/>
        </w:rPr>
      </w:pPr>
    </w:p>
    <w:p w:rsidR="00714C3C" w:rsidRPr="00714C3C" w:rsidRDefault="00714C3C" w:rsidP="00714C3C">
      <w:pPr>
        <w:jc w:val="center"/>
        <w:rPr>
          <w:b/>
          <w:bCs/>
        </w:rPr>
      </w:pPr>
      <w:r>
        <w:rPr>
          <w:b/>
          <w:bCs/>
        </w:rPr>
        <w:t>Marcelo F. Caffera</w:t>
      </w:r>
    </w:p>
    <w:p w:rsidR="00714C3C" w:rsidRPr="00714C3C" w:rsidRDefault="00714C3C" w:rsidP="00714C3C">
      <w:pPr>
        <w:jc w:val="center"/>
        <w:rPr>
          <w:bCs/>
        </w:rPr>
      </w:pPr>
      <w:r>
        <w:rPr>
          <w:bCs/>
        </w:rPr>
        <w:t>Departamento de Economía</w:t>
      </w:r>
    </w:p>
    <w:p w:rsidR="00714C3C" w:rsidRPr="00714C3C" w:rsidRDefault="00714C3C" w:rsidP="00714C3C">
      <w:pPr>
        <w:pStyle w:val="Piedepgina"/>
        <w:jc w:val="center"/>
        <w:rPr>
          <w:b/>
        </w:rPr>
      </w:pPr>
      <w:r>
        <w:rPr>
          <w:bCs/>
        </w:rPr>
        <w:t>Universidad de Montevideo</w:t>
      </w:r>
    </w:p>
    <w:p w:rsidR="00714C3C" w:rsidRPr="00714C3C" w:rsidRDefault="00714C3C" w:rsidP="00714C3C">
      <w:pPr>
        <w:pStyle w:val="Textodeglobo"/>
        <w:rPr>
          <w:rFonts w:ascii="Times New Roman" w:hAnsi="Times New Roman" w:cs="Times New Roman"/>
          <w:bCs/>
          <w:sz w:val="24"/>
          <w:szCs w:val="24"/>
        </w:rPr>
      </w:pPr>
    </w:p>
    <w:p w:rsidR="00714C3C" w:rsidRPr="00714C3C" w:rsidRDefault="00714C3C" w:rsidP="00714C3C">
      <w:pPr>
        <w:pStyle w:val="Textodeglobo"/>
        <w:rPr>
          <w:rFonts w:ascii="Times New Roman" w:hAnsi="Times New Roman" w:cs="Times New Roman"/>
          <w:bCs/>
          <w:sz w:val="24"/>
          <w:szCs w:val="24"/>
        </w:rPr>
      </w:pPr>
    </w:p>
    <w:p w:rsidR="00714C3C" w:rsidRPr="00714C3C" w:rsidRDefault="00714C3C" w:rsidP="00714C3C">
      <w:pPr>
        <w:jc w:val="center"/>
        <w:rPr>
          <w:b/>
          <w:bCs/>
        </w:rPr>
      </w:pPr>
      <w:r w:rsidRPr="00714C3C">
        <w:rPr>
          <w:b/>
          <w:bCs/>
        </w:rPr>
        <w:t>Carlos A. Chávez</w:t>
      </w:r>
      <w:r w:rsidRPr="00714C3C">
        <w:rPr>
          <w:rStyle w:val="Refdenotaalpie"/>
        </w:rPr>
        <w:footnoteReference w:customMarkFollows="1" w:id="2"/>
        <w:t>*</w:t>
      </w:r>
    </w:p>
    <w:p w:rsidR="00714C3C" w:rsidRPr="00714C3C" w:rsidRDefault="00714C3C" w:rsidP="00714C3C">
      <w:pPr>
        <w:jc w:val="center"/>
        <w:rPr>
          <w:bCs/>
        </w:rPr>
      </w:pPr>
      <w:r w:rsidRPr="00714C3C">
        <w:rPr>
          <w:bCs/>
        </w:rPr>
        <w:t>Departamento de Economía</w:t>
      </w:r>
    </w:p>
    <w:p w:rsidR="00714C3C" w:rsidRPr="00714C3C" w:rsidRDefault="00714C3C" w:rsidP="00714C3C">
      <w:pPr>
        <w:jc w:val="center"/>
        <w:rPr>
          <w:bCs/>
        </w:rPr>
      </w:pPr>
      <w:r w:rsidRPr="00714C3C">
        <w:rPr>
          <w:bCs/>
        </w:rPr>
        <w:t>Universidad de Concepción</w:t>
      </w:r>
    </w:p>
    <w:p w:rsidR="00714C3C" w:rsidRPr="00714C3C" w:rsidRDefault="00714C3C" w:rsidP="00714C3C">
      <w:pPr>
        <w:jc w:val="center"/>
        <w:rPr>
          <w:bCs/>
        </w:rPr>
      </w:pPr>
    </w:p>
    <w:p w:rsidR="00714C3C" w:rsidRPr="00714C3C" w:rsidRDefault="0081051E" w:rsidP="0081051E">
      <w:r w:rsidRPr="0081051E">
        <w:rPr>
          <w:highlight w:val="yellow"/>
        </w:rPr>
        <w:t xml:space="preserve">Marcelo: la propuesta que sigue tiene como intención también </w:t>
      </w:r>
      <w:r w:rsidR="00616E90">
        <w:rPr>
          <w:highlight w:val="yellow"/>
        </w:rPr>
        <w:t>ordenarnos en cuanto</w:t>
      </w:r>
      <w:r w:rsidRPr="0081051E">
        <w:rPr>
          <w:highlight w:val="yellow"/>
        </w:rPr>
        <w:t xml:space="preserve"> a intentar enfatizar/mostrar lo que en màs nuevo y novedoso con respecto a la literatura previa: Arguedas (2008), </w:t>
      </w:r>
      <w:r w:rsidR="0080230A" w:rsidRPr="0081051E">
        <w:rPr>
          <w:highlight w:val="yellow"/>
        </w:rPr>
        <w:t>John (2007)</w:t>
      </w:r>
      <w:r w:rsidR="0080230A">
        <w:rPr>
          <w:highlight w:val="yellow"/>
        </w:rPr>
        <w:t xml:space="preserve"> y </w:t>
      </w:r>
      <w:r w:rsidRPr="0081051E">
        <w:rPr>
          <w:highlight w:val="yellow"/>
        </w:rPr>
        <w:t>Chàve</w:t>
      </w:r>
      <w:r w:rsidR="0080230A">
        <w:rPr>
          <w:highlight w:val="yellow"/>
        </w:rPr>
        <w:t>z, Villena, Stranlund (2009)</w:t>
      </w:r>
    </w:p>
    <w:p w:rsidR="00714C3C" w:rsidRPr="00714C3C" w:rsidRDefault="00714C3C" w:rsidP="00714C3C">
      <w:pPr>
        <w:pStyle w:val="Ttulo4"/>
        <w:rPr>
          <w:b w:val="0"/>
          <w:bCs w:val="0"/>
          <w:sz w:val="24"/>
          <w:szCs w:val="24"/>
        </w:rPr>
      </w:pPr>
      <w:r w:rsidRPr="00714C3C">
        <w:rPr>
          <w:sz w:val="24"/>
          <w:szCs w:val="24"/>
        </w:rPr>
        <w:t xml:space="preserve">Abstract: </w:t>
      </w:r>
      <w:r w:rsidR="00767BD4">
        <w:rPr>
          <w:b w:val="0"/>
          <w:sz w:val="24"/>
          <w:szCs w:val="24"/>
        </w:rPr>
        <w:t>We study</w:t>
      </w:r>
      <w:r w:rsidRPr="00714C3C">
        <w:rPr>
          <w:b w:val="0"/>
          <w:sz w:val="24"/>
          <w:szCs w:val="24"/>
        </w:rPr>
        <w:t xml:space="preserve"> the </w:t>
      </w:r>
      <w:r w:rsidR="00767BD4">
        <w:rPr>
          <w:b w:val="0"/>
          <w:sz w:val="24"/>
          <w:szCs w:val="24"/>
        </w:rPr>
        <w:t>optimality of inducing compliance under a system of emissions standards.  Under the assumption of incomplete information, our analysis considers not only that monitoring compliance is costly, but also that imposing sanctions demand resources from the society.  We also examine the optimal allocati</w:t>
      </w:r>
      <w:r w:rsidR="00A573FB">
        <w:rPr>
          <w:b w:val="0"/>
          <w:sz w:val="24"/>
          <w:szCs w:val="24"/>
        </w:rPr>
        <w:t>on of abatement responsabilities</w:t>
      </w:r>
      <w:r w:rsidR="00767BD4">
        <w:rPr>
          <w:b w:val="0"/>
          <w:sz w:val="24"/>
          <w:szCs w:val="24"/>
        </w:rPr>
        <w:t xml:space="preserve"> in this context.  We found</w:t>
      </w:r>
      <w:r w:rsidRPr="00714C3C">
        <w:rPr>
          <w:b w:val="0"/>
          <w:sz w:val="24"/>
          <w:szCs w:val="24"/>
        </w:rPr>
        <w:t xml:space="preserve"> </w:t>
      </w:r>
      <w:r w:rsidRPr="00714C3C">
        <w:rPr>
          <w:b w:val="0"/>
          <w:iCs/>
          <w:sz w:val="24"/>
          <w:szCs w:val="24"/>
        </w:rPr>
        <w:t xml:space="preserve">that </w:t>
      </w:r>
      <w:r w:rsidR="00767BD4">
        <w:rPr>
          <w:b w:val="0"/>
          <w:iCs/>
          <w:sz w:val="24"/>
          <w:szCs w:val="24"/>
        </w:rPr>
        <w:t xml:space="preserve">under specific circumstances it might be cost-effective to induce perfect expected compliane of some firms while leaving others to violate the standard.  </w:t>
      </w:r>
      <w:r w:rsidRPr="00714C3C">
        <w:rPr>
          <w:b w:val="0"/>
          <w:iCs/>
          <w:sz w:val="24"/>
          <w:szCs w:val="24"/>
        </w:rPr>
        <w:t xml:space="preserve">In addition, </w:t>
      </w:r>
      <w:r w:rsidRPr="00714C3C">
        <w:rPr>
          <w:b w:val="0"/>
          <w:bCs w:val="0"/>
          <w:sz w:val="24"/>
          <w:szCs w:val="24"/>
        </w:rPr>
        <w:t>we found th</w:t>
      </w:r>
      <w:r w:rsidR="00767BD4">
        <w:rPr>
          <w:b w:val="0"/>
          <w:bCs w:val="0"/>
          <w:sz w:val="24"/>
          <w:szCs w:val="24"/>
        </w:rPr>
        <w:t>at the distribution of abatement responsabilities</w:t>
      </w:r>
      <w:r w:rsidRPr="00714C3C">
        <w:rPr>
          <w:b w:val="0"/>
          <w:bCs w:val="0"/>
          <w:sz w:val="24"/>
          <w:szCs w:val="24"/>
        </w:rPr>
        <w:t xml:space="preserve"> </w:t>
      </w:r>
      <w:r w:rsidR="00767BD4">
        <w:rPr>
          <w:b w:val="0"/>
          <w:bCs w:val="0"/>
          <w:sz w:val="24"/>
          <w:szCs w:val="24"/>
        </w:rPr>
        <w:t xml:space="preserve">that minimize aggregate program </w:t>
      </w:r>
      <w:r w:rsidR="00616E90">
        <w:rPr>
          <w:b w:val="0"/>
          <w:bCs w:val="0"/>
          <w:sz w:val="24"/>
          <w:szCs w:val="24"/>
        </w:rPr>
        <w:t xml:space="preserve">costs </w:t>
      </w:r>
      <w:r w:rsidR="00767BD4">
        <w:rPr>
          <w:b w:val="0"/>
          <w:bCs w:val="0"/>
          <w:sz w:val="24"/>
          <w:szCs w:val="24"/>
        </w:rPr>
        <w:t xml:space="preserve">must consider expected abatement costs, expected monitoing costs, and expected sanctioning costs, which in general </w:t>
      </w:r>
      <w:r w:rsidR="00616E90">
        <w:rPr>
          <w:b w:val="0"/>
          <w:bCs w:val="0"/>
          <w:sz w:val="24"/>
          <w:szCs w:val="24"/>
        </w:rPr>
        <w:t xml:space="preserve">will result in a distribution of emission control that </w:t>
      </w:r>
      <w:r w:rsidR="00767BD4">
        <w:rPr>
          <w:b w:val="0"/>
          <w:bCs w:val="0"/>
          <w:sz w:val="24"/>
          <w:szCs w:val="24"/>
        </w:rPr>
        <w:t>d</w:t>
      </w:r>
      <w:r w:rsidRPr="00714C3C">
        <w:rPr>
          <w:b w:val="0"/>
          <w:bCs w:val="0"/>
          <w:sz w:val="24"/>
          <w:szCs w:val="24"/>
        </w:rPr>
        <w:t xml:space="preserve">iffer from the distribution of emissions generated by a competitive transferable emissions permit system. </w:t>
      </w:r>
      <w:r w:rsidR="009D01BA">
        <w:rPr>
          <w:b w:val="0"/>
          <w:bCs w:val="0"/>
          <w:sz w:val="24"/>
          <w:szCs w:val="24"/>
        </w:rPr>
        <w:t xml:space="preserve">Then, considering </w:t>
      </w:r>
      <w:r w:rsidR="0081051E">
        <w:rPr>
          <w:b w:val="0"/>
          <w:bCs w:val="0"/>
          <w:sz w:val="24"/>
          <w:szCs w:val="24"/>
        </w:rPr>
        <w:t xml:space="preserve">the total program costs </w:t>
      </w:r>
      <w:r w:rsidR="009D01BA">
        <w:rPr>
          <w:b w:val="0"/>
          <w:bCs w:val="0"/>
          <w:sz w:val="24"/>
          <w:szCs w:val="24"/>
        </w:rPr>
        <w:t xml:space="preserve">of an emissions standard system </w:t>
      </w:r>
      <w:r w:rsidR="0081051E">
        <w:rPr>
          <w:b w:val="0"/>
          <w:bCs w:val="0"/>
          <w:sz w:val="24"/>
          <w:szCs w:val="24"/>
        </w:rPr>
        <w:t xml:space="preserve">(abatement, monitoring, and sanctioning) we characterize the optimal design of a command-and- control rgulation.  </w:t>
      </w:r>
      <w:r w:rsidR="009D01BA">
        <w:rPr>
          <w:b w:val="0"/>
          <w:bCs w:val="0"/>
          <w:sz w:val="24"/>
          <w:szCs w:val="24"/>
        </w:rPr>
        <w:t xml:space="preserve">We found that it should induce expected perfect compliance by every firm. </w:t>
      </w:r>
      <w:r w:rsidR="00767BD4">
        <w:rPr>
          <w:b w:val="0"/>
          <w:sz w:val="24"/>
          <w:szCs w:val="24"/>
        </w:rPr>
        <w:t xml:space="preserve">Further, we </w:t>
      </w:r>
      <w:r w:rsidR="0081051E">
        <w:rPr>
          <w:b w:val="0"/>
          <w:sz w:val="24"/>
          <w:szCs w:val="24"/>
        </w:rPr>
        <w:t>compare the</w:t>
      </w:r>
      <w:r w:rsidR="00767BD4">
        <w:rPr>
          <w:b w:val="0"/>
          <w:sz w:val="24"/>
          <w:szCs w:val="24"/>
        </w:rPr>
        <w:t xml:space="preserve"> </w:t>
      </w:r>
      <w:r w:rsidR="00767BD4" w:rsidRPr="00714C3C">
        <w:rPr>
          <w:b w:val="0"/>
          <w:sz w:val="24"/>
          <w:szCs w:val="24"/>
        </w:rPr>
        <w:t>cost</w:t>
      </w:r>
      <w:r w:rsidR="0081051E">
        <w:rPr>
          <w:b w:val="0"/>
          <w:sz w:val="24"/>
          <w:szCs w:val="24"/>
        </w:rPr>
        <w:t xml:space="preserve"> of a well designed</w:t>
      </w:r>
      <w:r w:rsidR="00767BD4" w:rsidRPr="00714C3C">
        <w:rPr>
          <w:b w:val="0"/>
          <w:sz w:val="24"/>
          <w:szCs w:val="24"/>
        </w:rPr>
        <w:t xml:space="preserve"> system of firm specific emissions standards </w:t>
      </w:r>
      <w:r w:rsidR="008D54BC">
        <w:rPr>
          <w:b w:val="0"/>
          <w:sz w:val="24"/>
          <w:szCs w:val="24"/>
        </w:rPr>
        <w:t xml:space="preserve">wit the costs of </w:t>
      </w:r>
      <w:r w:rsidR="00767BD4" w:rsidRPr="00714C3C">
        <w:rPr>
          <w:b w:val="0"/>
          <w:sz w:val="24"/>
          <w:szCs w:val="24"/>
        </w:rPr>
        <w:t xml:space="preserve">a </w:t>
      </w:r>
      <w:r w:rsidR="008D54BC">
        <w:rPr>
          <w:b w:val="0"/>
          <w:sz w:val="24"/>
          <w:szCs w:val="24"/>
        </w:rPr>
        <w:t xml:space="preserve">well enforced perfectly competitive </w:t>
      </w:r>
      <w:r w:rsidR="00767BD4" w:rsidRPr="00714C3C">
        <w:rPr>
          <w:b w:val="0"/>
          <w:sz w:val="24"/>
          <w:szCs w:val="24"/>
        </w:rPr>
        <w:t>transferable emissions permit system</w:t>
      </w:r>
      <w:r w:rsidR="0081051E">
        <w:rPr>
          <w:b w:val="0"/>
          <w:sz w:val="24"/>
          <w:szCs w:val="24"/>
        </w:rPr>
        <w:t xml:space="preserve"> in the context of </w:t>
      </w:r>
      <w:r w:rsidR="00767BD4" w:rsidRPr="00714C3C">
        <w:rPr>
          <w:b w:val="0"/>
          <w:sz w:val="24"/>
          <w:szCs w:val="24"/>
        </w:rPr>
        <w:t>incomplete information.</w:t>
      </w:r>
    </w:p>
    <w:p w:rsidR="00714C3C" w:rsidRPr="00714C3C" w:rsidRDefault="00714C3C" w:rsidP="00714C3C">
      <w:pPr>
        <w:pStyle w:val="Textoindependiente"/>
        <w:spacing w:after="0"/>
        <w:rPr>
          <w:i/>
          <w:iCs/>
          <w:lang w:val="en-GB"/>
        </w:rPr>
      </w:pPr>
    </w:p>
    <w:p w:rsidR="00714C3C" w:rsidRDefault="00714C3C" w:rsidP="00714C3C">
      <w:pPr>
        <w:pStyle w:val="Textoindependiente"/>
        <w:spacing w:after="0"/>
        <w:rPr>
          <w:lang w:val="fr-FR"/>
        </w:rPr>
      </w:pPr>
      <w:r w:rsidRPr="008D54BC">
        <w:rPr>
          <w:b/>
          <w:i/>
          <w:iCs/>
          <w:lang w:val="fr-FR"/>
        </w:rPr>
        <w:t>JEL Classification</w:t>
      </w:r>
      <w:r w:rsidRPr="008D54BC">
        <w:rPr>
          <w:b/>
          <w:lang w:val="fr-FR"/>
        </w:rPr>
        <w:t>:</w:t>
      </w:r>
      <w:r w:rsidRPr="00714C3C">
        <w:rPr>
          <w:lang w:val="fr-FR"/>
        </w:rPr>
        <w:t xml:space="preserve"> </w:t>
      </w:r>
      <w:r w:rsidRPr="00714C3C">
        <w:rPr>
          <w:i/>
          <w:lang w:val="fr-FR"/>
        </w:rPr>
        <w:t>L51, Q28 , K32, K42</w:t>
      </w:r>
      <w:r w:rsidRPr="00714C3C">
        <w:rPr>
          <w:lang w:val="fr-FR"/>
        </w:rPr>
        <w:t>.</w:t>
      </w:r>
    </w:p>
    <w:p w:rsidR="00714C3C" w:rsidRPr="00714C3C" w:rsidRDefault="00714C3C" w:rsidP="00714C3C">
      <w:pPr>
        <w:pStyle w:val="Textoindependiente"/>
        <w:spacing w:after="0"/>
        <w:rPr>
          <w:lang w:val="en-GB"/>
        </w:rPr>
      </w:pPr>
      <w:r w:rsidRPr="008D54BC">
        <w:rPr>
          <w:b/>
          <w:i/>
          <w:iCs/>
          <w:lang w:val="en-GB"/>
        </w:rPr>
        <w:t>Keywords</w:t>
      </w:r>
      <w:r w:rsidRPr="008D54BC">
        <w:rPr>
          <w:b/>
          <w:lang w:val="en-GB"/>
        </w:rPr>
        <w:t>:</w:t>
      </w:r>
      <w:r w:rsidRPr="00714C3C">
        <w:rPr>
          <w:lang w:val="en-GB"/>
        </w:rPr>
        <w:t xml:space="preserve"> Environmental policy, cost-effectiveness, enforcement costs, </w:t>
      </w:r>
      <w:r>
        <w:rPr>
          <w:lang w:val="en-GB"/>
        </w:rPr>
        <w:t xml:space="preserve">sanctioning costos, </w:t>
      </w:r>
      <w:r w:rsidRPr="00714C3C">
        <w:rPr>
          <w:lang w:val="en-GB"/>
        </w:rPr>
        <w:t>incomplete information.</w:t>
      </w:r>
    </w:p>
    <w:p w:rsidR="00BA2CCE" w:rsidRPr="00714C3C" w:rsidRDefault="00BA2CCE" w:rsidP="00BA2CCE">
      <w:pPr>
        <w:pStyle w:val="Ttulo"/>
      </w:pPr>
      <w:r w:rsidRPr="00714C3C">
        <w:rPr>
          <w:highlight w:val="yellow"/>
        </w:rPr>
        <w:lastRenderedPageBreak/>
        <w:t>Title?</w:t>
      </w:r>
    </w:p>
    <w:p w:rsidR="00BA2CCE" w:rsidRPr="00714C3C" w:rsidRDefault="00BA2CCE" w:rsidP="00BA2CCE">
      <w:pPr>
        <w:pStyle w:val="Ttulo"/>
      </w:pPr>
      <w:r>
        <w:t>Choosing</w:t>
      </w:r>
      <w:r w:rsidRPr="00714C3C">
        <w:t xml:space="preserve"> Policy Instruments to Control Po</w:t>
      </w:r>
      <w:r>
        <w:t xml:space="preserve">llution under Costly Monitoring, Sanctioning Costs and </w:t>
      </w:r>
      <w:r w:rsidRPr="00714C3C">
        <w:t>Incomplete Information</w:t>
      </w:r>
    </w:p>
    <w:p w:rsidR="00564828" w:rsidRDefault="00564828">
      <w:pPr>
        <w:rPr>
          <w:lang w:val="en-GB"/>
        </w:rPr>
      </w:pPr>
    </w:p>
    <w:p w:rsidR="00BA2CCE" w:rsidRDefault="00BA2CCE">
      <w:pPr>
        <w:rPr>
          <w:lang w:val="en-GB"/>
        </w:rPr>
      </w:pPr>
    </w:p>
    <w:p w:rsidR="00BA2CCE" w:rsidRDefault="00BA2CCE">
      <w:pPr>
        <w:rPr>
          <w:lang w:val="en-GB"/>
        </w:rPr>
      </w:pPr>
    </w:p>
    <w:p w:rsidR="00BA2CCE" w:rsidRPr="005B4676" w:rsidRDefault="00BA2CCE">
      <w:pPr>
        <w:rPr>
          <w:b/>
          <w:lang w:val="en-GB"/>
        </w:rPr>
      </w:pPr>
      <w:r w:rsidRPr="005B4676">
        <w:rPr>
          <w:b/>
          <w:lang w:val="en-GB"/>
        </w:rPr>
        <w:t xml:space="preserve">1. </w:t>
      </w:r>
      <w:r w:rsidR="005F40A6" w:rsidRPr="005B4676">
        <w:rPr>
          <w:b/>
          <w:lang w:val="en-GB"/>
        </w:rPr>
        <w:t>Introduction</w:t>
      </w:r>
    </w:p>
    <w:p w:rsidR="005F40A6" w:rsidRPr="005B4676" w:rsidRDefault="005F40A6">
      <w:pPr>
        <w:rPr>
          <w:b/>
          <w:lang w:val="en-GB"/>
        </w:rPr>
      </w:pPr>
    </w:p>
    <w:p w:rsidR="005F40A6" w:rsidRDefault="005F40A6">
      <w:pPr>
        <w:rPr>
          <w:b/>
          <w:lang w:val="en-GB"/>
        </w:rPr>
      </w:pPr>
    </w:p>
    <w:p w:rsidR="00664E1E" w:rsidRPr="00026009" w:rsidRDefault="00664E1E">
      <w:pPr>
        <w:rPr>
          <w:lang w:val="en-GB"/>
        </w:rPr>
      </w:pPr>
      <w:r w:rsidRPr="00026009">
        <w:rPr>
          <w:lang w:val="en-GB"/>
        </w:rPr>
        <w:t>-Motivation</w:t>
      </w:r>
    </w:p>
    <w:p w:rsidR="00664E1E" w:rsidRPr="00026009" w:rsidRDefault="00664E1E">
      <w:pPr>
        <w:rPr>
          <w:lang w:val="en-GB"/>
        </w:rPr>
      </w:pPr>
    </w:p>
    <w:p w:rsidR="00664E1E" w:rsidRDefault="00664E1E">
      <w:pPr>
        <w:rPr>
          <w:lang w:val="en-GB"/>
        </w:rPr>
      </w:pPr>
      <w:r w:rsidRPr="00026009">
        <w:rPr>
          <w:lang w:val="en-GB"/>
        </w:rPr>
        <w:t>-What do we do?</w:t>
      </w:r>
      <w:r w:rsidR="0031294D">
        <w:rPr>
          <w:lang w:val="en-GB"/>
        </w:rPr>
        <w:t xml:space="preserve">  </w:t>
      </w:r>
    </w:p>
    <w:p w:rsidR="0031294D" w:rsidRDefault="0031294D">
      <w:pPr>
        <w:rPr>
          <w:lang w:val="en-US"/>
        </w:rPr>
      </w:pPr>
    </w:p>
    <w:p w:rsidR="0031294D" w:rsidRDefault="0031294D">
      <w:pPr>
        <w:rPr>
          <w:lang w:val="en-US"/>
        </w:rPr>
      </w:pPr>
      <w:r>
        <w:rPr>
          <w:lang w:val="en-US"/>
        </w:rPr>
        <w:t>-</w:t>
      </w:r>
      <w:r w:rsidRPr="0031294D">
        <w:rPr>
          <w:lang w:val="en-US"/>
        </w:rPr>
        <w:t xml:space="preserve">We study the optimality of inducing compliance under a system of emissions standards.  Under the assumption of incomplete information, our analysis considers not only that monitoring compliance is costly, but also that imposing sanctions demand resources from the society.  </w:t>
      </w:r>
    </w:p>
    <w:p w:rsidR="0031294D" w:rsidRDefault="0031294D">
      <w:pPr>
        <w:rPr>
          <w:lang w:val="en-US"/>
        </w:rPr>
      </w:pPr>
    </w:p>
    <w:p w:rsidR="0031294D" w:rsidRDefault="0031294D">
      <w:pPr>
        <w:rPr>
          <w:lang w:val="en-US"/>
        </w:rPr>
      </w:pPr>
      <w:r>
        <w:rPr>
          <w:lang w:val="en-US"/>
        </w:rPr>
        <w:t>-</w:t>
      </w:r>
      <w:r w:rsidRPr="0031294D">
        <w:rPr>
          <w:lang w:val="en-US"/>
        </w:rPr>
        <w:t>We also examine the o</w:t>
      </w:r>
      <w:r>
        <w:rPr>
          <w:lang w:val="en-US"/>
        </w:rPr>
        <w:t xml:space="preserve">ptimal allocation of abatement among firms </w:t>
      </w:r>
      <w:r w:rsidRPr="0031294D">
        <w:rPr>
          <w:lang w:val="en-US"/>
        </w:rPr>
        <w:t>in this context.</w:t>
      </w:r>
    </w:p>
    <w:p w:rsidR="0031294D" w:rsidRDefault="0031294D">
      <w:pPr>
        <w:rPr>
          <w:bCs/>
          <w:lang w:val="en-US"/>
        </w:rPr>
      </w:pPr>
    </w:p>
    <w:p w:rsidR="0031294D" w:rsidRPr="0031294D" w:rsidRDefault="0031294D">
      <w:pPr>
        <w:rPr>
          <w:lang w:val="en-US"/>
        </w:rPr>
      </w:pPr>
      <w:r>
        <w:rPr>
          <w:bCs/>
          <w:lang w:val="en-US"/>
        </w:rPr>
        <w:t>-C</w:t>
      </w:r>
      <w:r w:rsidRPr="0031294D">
        <w:rPr>
          <w:bCs/>
          <w:lang w:val="en-US"/>
        </w:rPr>
        <w:t>onsidering the total program costs of an emissions standard system (abatement, monitoring, and sanctioning) we characterize the optimal design of a command-and- control r</w:t>
      </w:r>
      <w:r>
        <w:rPr>
          <w:bCs/>
          <w:lang w:val="en-US"/>
        </w:rPr>
        <w:t>e</w:t>
      </w:r>
      <w:r w:rsidRPr="0031294D">
        <w:rPr>
          <w:bCs/>
          <w:lang w:val="en-US"/>
        </w:rPr>
        <w:t>gulation.</w:t>
      </w:r>
    </w:p>
    <w:p w:rsidR="0031294D" w:rsidRDefault="0031294D">
      <w:pPr>
        <w:rPr>
          <w:lang w:val="en-US"/>
        </w:rPr>
      </w:pPr>
    </w:p>
    <w:p w:rsidR="0031294D" w:rsidRPr="0031294D" w:rsidRDefault="0031294D" w:rsidP="0031294D">
      <w:pPr>
        <w:rPr>
          <w:lang w:val="en-US"/>
        </w:rPr>
      </w:pPr>
      <w:r>
        <w:rPr>
          <w:lang w:val="en-US"/>
        </w:rPr>
        <w:t>-</w:t>
      </w:r>
      <w:r w:rsidRPr="0031294D">
        <w:rPr>
          <w:lang w:val="en-US"/>
        </w:rPr>
        <w:t xml:space="preserve"> Further, we compare the cost of a well designed system of firm specific emissions standards wit the costs of a well enforced perfectly competitive transferable emissions permit system in the context of incomplete information.</w:t>
      </w:r>
    </w:p>
    <w:p w:rsidR="0031294D" w:rsidRPr="0031294D" w:rsidRDefault="0031294D">
      <w:pPr>
        <w:rPr>
          <w:lang w:val="en-US"/>
        </w:rPr>
      </w:pPr>
    </w:p>
    <w:p w:rsidR="00664E1E" w:rsidRPr="00026009" w:rsidRDefault="00664E1E">
      <w:pPr>
        <w:rPr>
          <w:lang w:val="en-GB"/>
        </w:rPr>
      </w:pPr>
    </w:p>
    <w:p w:rsidR="00664E1E" w:rsidRPr="00026009" w:rsidRDefault="00664E1E">
      <w:pPr>
        <w:rPr>
          <w:lang w:val="en-GB"/>
        </w:rPr>
      </w:pPr>
      <w:r w:rsidRPr="00026009">
        <w:rPr>
          <w:lang w:val="en-GB"/>
        </w:rPr>
        <w:t>-What do we obtain?</w:t>
      </w:r>
    </w:p>
    <w:p w:rsidR="0031294D" w:rsidRDefault="0031294D">
      <w:pPr>
        <w:rPr>
          <w:lang w:val="en-GB"/>
        </w:rPr>
      </w:pPr>
    </w:p>
    <w:p w:rsidR="0031294D" w:rsidRDefault="0031294D">
      <w:pPr>
        <w:rPr>
          <w:iCs/>
          <w:lang w:val="en-US"/>
        </w:rPr>
      </w:pPr>
      <w:r>
        <w:rPr>
          <w:lang w:val="en-US"/>
        </w:rPr>
        <w:t>-</w:t>
      </w:r>
      <w:r w:rsidRPr="0031294D">
        <w:rPr>
          <w:lang w:val="en-US"/>
        </w:rPr>
        <w:t xml:space="preserve">We found </w:t>
      </w:r>
      <w:r w:rsidRPr="0031294D">
        <w:rPr>
          <w:iCs/>
          <w:lang w:val="en-US"/>
        </w:rPr>
        <w:t>that under specific circumstances it might be cost-effective to induce perfect expected complian</w:t>
      </w:r>
      <w:r w:rsidR="00A573FB">
        <w:rPr>
          <w:iCs/>
          <w:lang w:val="en-US"/>
        </w:rPr>
        <w:t>c</w:t>
      </w:r>
      <w:r w:rsidRPr="0031294D">
        <w:rPr>
          <w:iCs/>
          <w:lang w:val="en-US"/>
        </w:rPr>
        <w:t xml:space="preserve">e of some firms while leaving others to violate the standard.  </w:t>
      </w:r>
    </w:p>
    <w:p w:rsidR="0031294D" w:rsidRDefault="0031294D">
      <w:pPr>
        <w:rPr>
          <w:iCs/>
          <w:lang w:val="en-US"/>
        </w:rPr>
      </w:pPr>
    </w:p>
    <w:p w:rsidR="00664E1E" w:rsidRDefault="0031294D">
      <w:pPr>
        <w:rPr>
          <w:bCs/>
          <w:lang w:val="en-US"/>
        </w:rPr>
      </w:pPr>
      <w:r>
        <w:rPr>
          <w:iCs/>
          <w:lang w:val="en-US"/>
        </w:rPr>
        <w:t>-</w:t>
      </w:r>
      <w:r w:rsidRPr="0031294D">
        <w:rPr>
          <w:iCs/>
          <w:lang w:val="en-US"/>
        </w:rPr>
        <w:t xml:space="preserve">In addition, </w:t>
      </w:r>
      <w:r w:rsidRPr="0031294D">
        <w:rPr>
          <w:bCs/>
          <w:lang w:val="en-US"/>
        </w:rPr>
        <w:t>we found that the distribution of abatement responsabilities that minimize aggregate program costs must consider expected abatement costs, expected monito</w:t>
      </w:r>
      <w:r>
        <w:rPr>
          <w:bCs/>
          <w:lang w:val="en-US"/>
        </w:rPr>
        <w:t>r</w:t>
      </w:r>
      <w:r w:rsidRPr="0031294D">
        <w:rPr>
          <w:bCs/>
          <w:lang w:val="en-US"/>
        </w:rPr>
        <w:t>ing costs, and expected sanctioning costs, which in general will result in a distribution of emission control that differ from the distribution of emissions generated by a competitive transferable emissions permit system.</w:t>
      </w:r>
    </w:p>
    <w:p w:rsidR="0031294D" w:rsidRDefault="0031294D">
      <w:pPr>
        <w:rPr>
          <w:bCs/>
          <w:lang w:val="en-US"/>
        </w:rPr>
      </w:pPr>
    </w:p>
    <w:p w:rsidR="0031294D" w:rsidRDefault="0031294D">
      <w:pPr>
        <w:rPr>
          <w:lang w:val="en-GB"/>
        </w:rPr>
      </w:pPr>
      <w:r w:rsidRPr="0031294D">
        <w:rPr>
          <w:bCs/>
          <w:lang w:val="en-US"/>
        </w:rPr>
        <w:t xml:space="preserve">- </w:t>
      </w:r>
      <w:r>
        <w:rPr>
          <w:bCs/>
          <w:lang w:val="en-US"/>
        </w:rPr>
        <w:t>We found that a regulator</w:t>
      </w:r>
      <w:r w:rsidRPr="0031294D">
        <w:rPr>
          <w:bCs/>
          <w:lang w:val="en-US"/>
        </w:rPr>
        <w:t xml:space="preserve"> should induce expected perfect compliance by every firm. </w:t>
      </w:r>
    </w:p>
    <w:p w:rsidR="005F40A6" w:rsidRPr="005B4676" w:rsidRDefault="005F40A6">
      <w:pPr>
        <w:rPr>
          <w:b/>
          <w:lang w:val="en-GB"/>
        </w:rPr>
      </w:pPr>
    </w:p>
    <w:p w:rsidR="005F40A6" w:rsidRPr="0031294D" w:rsidRDefault="0031294D">
      <w:pPr>
        <w:rPr>
          <w:lang w:val="en-GB"/>
        </w:rPr>
      </w:pPr>
      <w:r w:rsidRPr="0031294D">
        <w:rPr>
          <w:lang w:val="en-GB"/>
        </w:rPr>
        <w:t>-We found that a transferable emissions permit system not always is preferable, but information problems is the main reason to implement them.</w:t>
      </w:r>
      <w:r>
        <w:rPr>
          <w:lang w:val="en-GB"/>
        </w:rPr>
        <w:t xml:space="preserve">  </w:t>
      </w:r>
      <w:r w:rsidRPr="0031294D">
        <w:rPr>
          <w:highlight w:val="yellow"/>
          <w:lang w:val="en-GB"/>
        </w:rPr>
        <w:t>We should built this argument better!  It is among the most important, as I see our progess.</w:t>
      </w:r>
    </w:p>
    <w:p w:rsidR="005F40A6" w:rsidRDefault="005F40A6">
      <w:pPr>
        <w:rPr>
          <w:b/>
          <w:lang w:val="en-GB"/>
        </w:rPr>
      </w:pPr>
    </w:p>
    <w:p w:rsidR="0031294D" w:rsidRDefault="0031294D" w:rsidP="0031294D">
      <w:pPr>
        <w:rPr>
          <w:lang w:val="en-GB"/>
        </w:rPr>
      </w:pPr>
      <w:r w:rsidRPr="00026009">
        <w:rPr>
          <w:lang w:val="en-GB"/>
        </w:rPr>
        <w:t xml:space="preserve">-Relate motivation and findings to the existing literature.  </w:t>
      </w:r>
    </w:p>
    <w:p w:rsidR="0031294D" w:rsidRDefault="0031294D" w:rsidP="0031294D">
      <w:pPr>
        <w:rPr>
          <w:lang w:val="en-GB"/>
        </w:rPr>
      </w:pPr>
    </w:p>
    <w:p w:rsidR="0031294D" w:rsidRDefault="0031294D" w:rsidP="0031294D">
      <w:pPr>
        <w:rPr>
          <w:lang w:val="en-GB"/>
        </w:rPr>
      </w:pPr>
      <w:r>
        <w:rPr>
          <w:lang w:val="en-GB"/>
        </w:rPr>
        <w:t>-Stranlund (2007) has already shown how a transferable emissions permit system should be designed.</w:t>
      </w:r>
    </w:p>
    <w:p w:rsidR="0031294D" w:rsidRDefault="0031294D" w:rsidP="0031294D">
      <w:pPr>
        <w:rPr>
          <w:lang w:val="en-GB"/>
        </w:rPr>
      </w:pPr>
    </w:p>
    <w:p w:rsidR="0031294D" w:rsidRDefault="0031294D" w:rsidP="0031294D">
      <w:pPr>
        <w:rPr>
          <w:lang w:val="en-GB"/>
        </w:rPr>
      </w:pPr>
      <w:r>
        <w:rPr>
          <w:lang w:val="en-GB"/>
        </w:rPr>
        <w:t>-Malik (1992), Hahn and Axtell (1995), Chávez, Stranlund, and Villena (2009) have considered the optimal design of a system of emissions standards.  Their assumptions differ in terms of information available to the regulator.  None of them has considered sanctioning costs.  Arguedas (2008) is the first one to examine the optimal design of an emission standard system with monitoring costs and sanctioning costs.  She assumed pefect information and consider just one firm.</w:t>
      </w:r>
    </w:p>
    <w:p w:rsidR="0031294D" w:rsidRDefault="0031294D" w:rsidP="0031294D">
      <w:pPr>
        <w:rPr>
          <w:lang w:val="en-GB"/>
        </w:rPr>
      </w:pPr>
    </w:p>
    <w:p w:rsidR="0031294D" w:rsidRDefault="0031294D" w:rsidP="0031294D">
      <w:pPr>
        <w:rPr>
          <w:lang w:val="en-GB"/>
        </w:rPr>
      </w:pPr>
      <w:r>
        <w:rPr>
          <w:lang w:val="en-GB"/>
        </w:rPr>
        <w:t>-</w:t>
      </w:r>
      <w:r w:rsidRPr="00026009">
        <w:rPr>
          <w:lang w:val="en-GB"/>
        </w:rPr>
        <w:t>Contrast with Arguedas (2008), we model a set of heterogenous firms, instead of just one. This, introduce heterogeneity into the analysis not only in terms of abatement costs, but also along with monitoring costs, and the cost of imposing sanctions to violators.</w:t>
      </w:r>
    </w:p>
    <w:p w:rsidR="0031294D" w:rsidRPr="00026009" w:rsidRDefault="0031294D" w:rsidP="0031294D">
      <w:pPr>
        <w:rPr>
          <w:lang w:val="en-GB"/>
        </w:rPr>
      </w:pPr>
    </w:p>
    <w:p w:rsidR="0031294D" w:rsidRPr="005B4676" w:rsidRDefault="0031294D">
      <w:pPr>
        <w:rPr>
          <w:b/>
          <w:lang w:val="en-GB"/>
        </w:rPr>
      </w:pPr>
    </w:p>
    <w:p w:rsidR="005F40A6" w:rsidRPr="005B4676" w:rsidRDefault="005F40A6">
      <w:pPr>
        <w:rPr>
          <w:b/>
          <w:lang w:val="en-GB"/>
        </w:rPr>
      </w:pPr>
    </w:p>
    <w:p w:rsidR="005F40A6" w:rsidRPr="005B4676" w:rsidRDefault="005F40A6">
      <w:pPr>
        <w:rPr>
          <w:b/>
          <w:iCs/>
          <w:lang w:val="en-GB"/>
        </w:rPr>
      </w:pPr>
      <w:r w:rsidRPr="005B4676">
        <w:rPr>
          <w:b/>
          <w:lang w:val="en-GB"/>
        </w:rPr>
        <w:t xml:space="preserve">2. A Model of Compliance Under </w:t>
      </w:r>
      <w:r w:rsidRPr="005B4676">
        <w:rPr>
          <w:b/>
          <w:iCs/>
          <w:lang w:val="en-GB"/>
        </w:rPr>
        <w:t>a System of Firm Specific Emissions Standards</w:t>
      </w:r>
    </w:p>
    <w:p w:rsidR="005F40A6" w:rsidRPr="005B4676" w:rsidRDefault="005F40A6">
      <w:pPr>
        <w:rPr>
          <w:b/>
          <w:iCs/>
          <w:lang w:val="en-GB"/>
        </w:rPr>
      </w:pPr>
    </w:p>
    <w:p w:rsidR="005F40A6" w:rsidRPr="005B4676" w:rsidRDefault="005F40A6">
      <w:pPr>
        <w:rPr>
          <w:b/>
          <w:iCs/>
          <w:lang w:val="en-GB"/>
        </w:rPr>
      </w:pPr>
    </w:p>
    <w:p w:rsidR="00C87D39" w:rsidRPr="00C87D39" w:rsidRDefault="00C87D39" w:rsidP="00C87D39">
      <w:pPr>
        <w:widowControl w:val="0"/>
        <w:rPr>
          <w:b/>
          <w:bCs/>
          <w:i/>
          <w:iCs/>
          <w:lang w:val="en-GB"/>
        </w:rPr>
      </w:pPr>
      <w:r>
        <w:rPr>
          <w:lang w:val="en-GB"/>
        </w:rPr>
        <w:t>-</w:t>
      </w:r>
      <w:r w:rsidRPr="00C87D39">
        <w:rPr>
          <w:lang w:val="en-GB"/>
        </w:rPr>
        <w:t>The purpose of this section is to present a conceptual model of the individual firm’s behaviour and choices unde</w:t>
      </w:r>
      <w:r>
        <w:rPr>
          <w:lang w:val="en-GB"/>
        </w:rPr>
        <w:t>r a</w:t>
      </w:r>
      <w:r w:rsidRPr="00C87D39">
        <w:rPr>
          <w:lang w:val="en-GB"/>
        </w:rPr>
        <w:t xml:space="preserve"> command and control regulation. The model we present foll</w:t>
      </w:r>
      <w:r>
        <w:rPr>
          <w:lang w:val="en-GB"/>
        </w:rPr>
        <w:t>ows previous work by Malik (1992</w:t>
      </w:r>
      <w:r w:rsidRPr="00C87D39">
        <w:rPr>
          <w:lang w:val="en-GB"/>
        </w:rPr>
        <w:t xml:space="preserve">), </w:t>
      </w:r>
      <w:r>
        <w:rPr>
          <w:lang w:val="en-GB"/>
        </w:rPr>
        <w:t>Heyes (2000), and Arguedas (2008).</w:t>
      </w:r>
    </w:p>
    <w:p w:rsidR="005F40A6" w:rsidRPr="005B4676" w:rsidRDefault="005F40A6">
      <w:pPr>
        <w:rPr>
          <w:b/>
          <w:iCs/>
          <w:lang w:val="en-GB"/>
        </w:rPr>
      </w:pPr>
    </w:p>
    <w:p w:rsidR="00CE7FEF" w:rsidRDefault="00CE7FEF" w:rsidP="00CE7FEF">
      <w:pPr>
        <w:rPr>
          <w:i/>
          <w:lang w:val="en-GB"/>
        </w:rPr>
      </w:pPr>
      <w:r w:rsidRPr="00CE7FEF">
        <w:rPr>
          <w:i/>
          <w:lang w:val="en-GB"/>
        </w:rPr>
        <w:t xml:space="preserve">The </w:t>
      </w:r>
      <w:r>
        <w:rPr>
          <w:i/>
          <w:lang w:val="en-GB"/>
        </w:rPr>
        <w:t xml:space="preserve">polluter </w:t>
      </w:r>
      <w:r w:rsidRPr="00CE7FEF">
        <w:rPr>
          <w:i/>
          <w:lang w:val="en-GB"/>
        </w:rPr>
        <w:t xml:space="preserve">firm and </w:t>
      </w:r>
      <w:r>
        <w:rPr>
          <w:i/>
          <w:lang w:val="en-GB"/>
        </w:rPr>
        <w:t xml:space="preserve">its </w:t>
      </w:r>
      <w:r w:rsidRPr="00CE7FEF">
        <w:rPr>
          <w:i/>
          <w:lang w:val="en-GB"/>
        </w:rPr>
        <w:t>regulation</w:t>
      </w:r>
    </w:p>
    <w:p w:rsidR="00CE7FEF" w:rsidRPr="00CE7FEF" w:rsidRDefault="00CE7FEF" w:rsidP="00CE7FEF">
      <w:pPr>
        <w:rPr>
          <w:i/>
          <w:lang w:val="en-GB"/>
        </w:rPr>
      </w:pPr>
    </w:p>
    <w:p w:rsidR="00CE7FEF" w:rsidRDefault="00CE7FEF" w:rsidP="00CE7FEF">
      <w:pPr>
        <w:rPr>
          <w:lang w:val="en-GB"/>
        </w:rPr>
      </w:pPr>
      <w:r>
        <w:rPr>
          <w:lang w:val="en-GB"/>
        </w:rPr>
        <w:t>-</w:t>
      </w:r>
      <w:r w:rsidR="00283F99" w:rsidRPr="00283F99">
        <w:rPr>
          <w:lang w:val="en-GB"/>
        </w:rPr>
        <w:t>To analyze the individual firm’s complianc</w:t>
      </w:r>
      <w:r>
        <w:rPr>
          <w:lang w:val="en-GB"/>
        </w:rPr>
        <w:t>e behaviour</w:t>
      </w:r>
      <w:r w:rsidR="00283F99" w:rsidRPr="00283F99">
        <w:rPr>
          <w:lang w:val="en-GB"/>
        </w:rPr>
        <w:t>, we consider a ris</w:t>
      </w:r>
      <w:r>
        <w:rPr>
          <w:lang w:val="en-GB"/>
        </w:rPr>
        <w:t xml:space="preserve">k-neutral firm </w:t>
      </w:r>
      <w:r w:rsidR="00283F99" w:rsidRPr="00283F99">
        <w:rPr>
          <w:lang w:val="en-GB"/>
        </w:rPr>
        <w:t xml:space="preserve">under an emissions standard system, along with a fixed number of other heterogeneous firms. </w:t>
      </w:r>
    </w:p>
    <w:p w:rsidR="00CE7FEF" w:rsidRDefault="00CE7FEF" w:rsidP="00CE7FEF">
      <w:pPr>
        <w:rPr>
          <w:lang w:val="en-GB"/>
        </w:rPr>
      </w:pPr>
    </w:p>
    <w:p w:rsidR="00CE7FEF" w:rsidRDefault="00CE7FEF" w:rsidP="00CE7FEF">
      <w:pPr>
        <w:rPr>
          <w:lang w:val="en-GB"/>
        </w:rPr>
      </w:pPr>
      <w:r>
        <w:rPr>
          <w:lang w:val="en-GB"/>
        </w:rPr>
        <w:t>-</w:t>
      </w:r>
      <w:r w:rsidR="00283F99" w:rsidRPr="00283F99">
        <w:rPr>
          <w:lang w:val="en-GB"/>
        </w:rPr>
        <w:t xml:space="preserve">The firm’s abatement cost function is </w:t>
      </w:r>
      <w:r w:rsidR="00283F99" w:rsidRPr="00283F99">
        <w:rPr>
          <w:i/>
          <w:lang w:val="en-GB"/>
        </w:rPr>
        <w:t>c</w:t>
      </w:r>
      <w:r w:rsidR="00283F99" w:rsidRPr="00283F99">
        <w:rPr>
          <w:lang w:val="en-GB"/>
        </w:rPr>
        <w:t>(</w:t>
      </w:r>
      <w:r w:rsidR="00283F99" w:rsidRPr="00283F99">
        <w:rPr>
          <w:i/>
          <w:lang w:val="en-GB"/>
        </w:rPr>
        <w:t>e</w:t>
      </w:r>
      <w:r w:rsidR="00283F99" w:rsidRPr="00283F99">
        <w:rPr>
          <w:iCs/>
          <w:lang w:val="en-GB"/>
        </w:rPr>
        <w:t xml:space="preserve">, </w:t>
      </w:r>
      <w:r w:rsidR="00283F99" w:rsidRPr="00283F99">
        <w:rPr>
          <w:i/>
          <w:lang w:val="en-GB"/>
        </w:rPr>
        <w:sym w:font="Symbol" w:char="F071"/>
      </w:r>
      <w:r w:rsidR="00283F99" w:rsidRPr="00283F99">
        <w:rPr>
          <w:lang w:val="en-GB"/>
        </w:rPr>
        <w:t xml:space="preserve">), which is strictly decreasing and convex in the firm’s emissions </w:t>
      </w:r>
      <w:r w:rsidR="00283F99" w:rsidRPr="00283F99">
        <w:rPr>
          <w:i/>
          <w:lang w:val="en-GB"/>
        </w:rPr>
        <w:t>e</w:t>
      </w:r>
      <w:r w:rsidR="00283F99" w:rsidRPr="00283F99">
        <w:rPr>
          <w:lang w:val="en-GB"/>
        </w:rPr>
        <w:t xml:space="preserve"> [</w:t>
      </w:r>
      <w:r w:rsidR="00283F99" w:rsidRPr="00283F99">
        <w:rPr>
          <w:i/>
          <w:lang w:val="en-GB"/>
        </w:rPr>
        <w:t>c</w:t>
      </w:r>
      <w:r w:rsidR="00283F99" w:rsidRPr="00283F99">
        <w:rPr>
          <w:i/>
          <w:iCs/>
          <w:vertAlign w:val="subscript"/>
          <w:lang w:val="en-GB"/>
        </w:rPr>
        <w:t xml:space="preserve">e </w:t>
      </w:r>
      <w:r w:rsidR="00283F99" w:rsidRPr="00283F99">
        <w:rPr>
          <w:lang w:val="en-GB"/>
        </w:rPr>
        <w:t>(</w:t>
      </w:r>
      <w:r w:rsidR="00283F99" w:rsidRPr="00283F99">
        <w:rPr>
          <w:i/>
          <w:lang w:val="en-GB"/>
        </w:rPr>
        <w:t>e</w:t>
      </w:r>
      <w:r w:rsidR="00283F99" w:rsidRPr="00283F99">
        <w:rPr>
          <w:iCs/>
          <w:lang w:val="en-GB"/>
        </w:rPr>
        <w:t xml:space="preserve">, </w:t>
      </w:r>
      <w:r w:rsidR="00283F99" w:rsidRPr="00283F99">
        <w:rPr>
          <w:i/>
          <w:lang w:val="en-GB"/>
        </w:rPr>
        <w:sym w:font="Symbol" w:char="F071"/>
      </w:r>
      <w:r w:rsidR="00283F99" w:rsidRPr="00283F99">
        <w:rPr>
          <w:lang w:val="en-GB"/>
        </w:rPr>
        <w:t xml:space="preserve">) &lt; 0 and </w:t>
      </w:r>
      <w:r w:rsidR="00283F99" w:rsidRPr="00283F99">
        <w:rPr>
          <w:i/>
          <w:lang w:val="en-GB"/>
        </w:rPr>
        <w:t>c</w:t>
      </w:r>
      <w:r w:rsidR="00283F99" w:rsidRPr="00283F99">
        <w:rPr>
          <w:i/>
          <w:iCs/>
          <w:vertAlign w:val="subscript"/>
          <w:lang w:val="en-GB"/>
        </w:rPr>
        <w:t>ee</w:t>
      </w:r>
      <w:r w:rsidR="00283F99" w:rsidRPr="00283F99">
        <w:rPr>
          <w:iCs/>
          <w:lang w:val="en-GB"/>
        </w:rPr>
        <w:t xml:space="preserve"> </w:t>
      </w:r>
      <w:r w:rsidR="00283F99" w:rsidRPr="00283F99">
        <w:rPr>
          <w:lang w:val="en-GB"/>
        </w:rPr>
        <w:t>(</w:t>
      </w:r>
      <w:r w:rsidR="00283F99" w:rsidRPr="00283F99">
        <w:rPr>
          <w:i/>
          <w:lang w:val="en-GB"/>
        </w:rPr>
        <w:t>e</w:t>
      </w:r>
      <w:r w:rsidR="00283F99" w:rsidRPr="00283F99">
        <w:rPr>
          <w:iCs/>
          <w:lang w:val="en-GB"/>
        </w:rPr>
        <w:t xml:space="preserve">, </w:t>
      </w:r>
      <w:r w:rsidR="00283F99" w:rsidRPr="00283F99">
        <w:rPr>
          <w:i/>
          <w:lang w:val="en-GB"/>
        </w:rPr>
        <w:sym w:font="Symbol" w:char="F071"/>
      </w:r>
      <w:r w:rsidR="00283F99" w:rsidRPr="00283F99">
        <w:rPr>
          <w:lang w:val="en-GB"/>
        </w:rPr>
        <w:t xml:space="preserve">) &gt; 0]. A firm is distinguished from others by the shift parameter </w:t>
      </w:r>
      <w:r w:rsidR="00283F99" w:rsidRPr="00283F99">
        <w:rPr>
          <w:i/>
          <w:lang w:val="en-GB"/>
        </w:rPr>
        <w:sym w:font="Symbol" w:char="F071"/>
      </w:r>
      <w:r w:rsidR="00283F99" w:rsidRPr="00283F99">
        <w:rPr>
          <w:lang w:val="en-GB"/>
        </w:rPr>
        <w:t>.</w:t>
      </w:r>
      <w:r w:rsidR="00283F99" w:rsidRPr="00283F99">
        <w:rPr>
          <w:rStyle w:val="Refdenotaalpie"/>
          <w:lang w:val="en-GB"/>
        </w:rPr>
        <w:footnoteReference w:id="3"/>
      </w:r>
      <w:r w:rsidR="00283F99" w:rsidRPr="00283F99">
        <w:rPr>
          <w:lang w:val="en-GB"/>
        </w:rPr>
        <w:t xml:space="preserve">  </w:t>
      </w:r>
      <w:r w:rsidRPr="00CE7FEF">
        <w:rPr>
          <w:highlight w:val="yellow"/>
          <w:lang w:val="en-GB"/>
        </w:rPr>
        <w:t>Should we use sub-index for this derivatives?</w:t>
      </w:r>
    </w:p>
    <w:p w:rsidR="00CE7FEF" w:rsidRDefault="00CE7FEF" w:rsidP="00CE7FEF">
      <w:pPr>
        <w:rPr>
          <w:lang w:val="en-GB"/>
        </w:rPr>
      </w:pPr>
    </w:p>
    <w:p w:rsidR="00CE7FEF" w:rsidRDefault="00CE7FEF" w:rsidP="00CE7FEF">
      <w:pPr>
        <w:rPr>
          <w:lang w:val="en-GB"/>
        </w:rPr>
      </w:pPr>
      <w:r>
        <w:rPr>
          <w:lang w:val="en-GB"/>
        </w:rPr>
        <w:t>-</w:t>
      </w:r>
      <w:r w:rsidR="00283F99" w:rsidRPr="00283F99">
        <w:rPr>
          <w:lang w:val="en-GB"/>
        </w:rPr>
        <w:t xml:space="preserve">We assume that both the firm’s abatement costs and its marginal abatement costs are increasing in </w:t>
      </w:r>
      <w:r w:rsidR="00283F99" w:rsidRPr="00283F99">
        <w:rPr>
          <w:i/>
          <w:lang w:val="en-GB"/>
        </w:rPr>
        <w:sym w:font="Symbol" w:char="F071"/>
      </w:r>
      <w:r w:rsidR="00283F99" w:rsidRPr="00283F99">
        <w:rPr>
          <w:iCs/>
          <w:lang w:val="en-GB"/>
        </w:rPr>
        <w:t xml:space="preserve">, that is, </w:t>
      </w:r>
      <w:r w:rsidR="00283F99" w:rsidRPr="00283F99">
        <w:rPr>
          <w:i/>
          <w:lang w:val="en-GB"/>
        </w:rPr>
        <w:t>c</w:t>
      </w:r>
      <w:r w:rsidR="00283F99" w:rsidRPr="00283F99">
        <w:rPr>
          <w:i/>
          <w:iCs/>
          <w:vertAlign w:val="subscript"/>
          <w:lang w:val="en-GB"/>
        </w:rPr>
        <w:sym w:font="Symbol" w:char="F071"/>
      </w:r>
      <w:r w:rsidR="00283F99" w:rsidRPr="00283F99">
        <w:rPr>
          <w:lang w:val="en-GB"/>
        </w:rPr>
        <w:t>(</w:t>
      </w:r>
      <w:r w:rsidR="00283F99" w:rsidRPr="00283F99">
        <w:rPr>
          <w:i/>
          <w:lang w:val="en-GB"/>
        </w:rPr>
        <w:t>e</w:t>
      </w:r>
      <w:r w:rsidR="00283F99" w:rsidRPr="00283F99">
        <w:rPr>
          <w:iCs/>
          <w:lang w:val="en-GB"/>
        </w:rPr>
        <w:t xml:space="preserve">, </w:t>
      </w:r>
      <w:r w:rsidR="00283F99" w:rsidRPr="00283F99">
        <w:rPr>
          <w:i/>
          <w:lang w:val="en-GB"/>
        </w:rPr>
        <w:sym w:font="Symbol" w:char="F071"/>
      </w:r>
      <w:r w:rsidR="00283F99" w:rsidRPr="00283F99">
        <w:rPr>
          <w:lang w:val="en-GB"/>
        </w:rPr>
        <w:t xml:space="preserve">) &gt; 0 and </w:t>
      </w:r>
      <w:r w:rsidR="00283F99" w:rsidRPr="00283F99">
        <w:rPr>
          <w:i/>
          <w:lang w:val="en-GB"/>
        </w:rPr>
        <w:t>c</w:t>
      </w:r>
      <w:r w:rsidR="00283F99" w:rsidRPr="00283F99">
        <w:rPr>
          <w:i/>
          <w:vertAlign w:val="subscript"/>
          <w:lang w:val="en-GB"/>
        </w:rPr>
        <w:t>e</w:t>
      </w:r>
      <w:r w:rsidR="00283F99" w:rsidRPr="00283F99">
        <w:rPr>
          <w:i/>
          <w:iCs/>
          <w:vertAlign w:val="subscript"/>
          <w:lang w:val="en-GB"/>
        </w:rPr>
        <w:sym w:font="Symbol" w:char="F071"/>
      </w:r>
      <w:r w:rsidR="00283F99" w:rsidRPr="00283F99">
        <w:rPr>
          <w:i/>
          <w:iCs/>
          <w:lang w:val="en-GB"/>
        </w:rPr>
        <w:t xml:space="preserve"> </w:t>
      </w:r>
      <w:r w:rsidR="00283F99" w:rsidRPr="00283F99">
        <w:rPr>
          <w:lang w:val="en-GB"/>
        </w:rPr>
        <w:t>(</w:t>
      </w:r>
      <w:r w:rsidR="00283F99" w:rsidRPr="00283F99">
        <w:rPr>
          <w:i/>
          <w:lang w:val="en-GB"/>
        </w:rPr>
        <w:t>e</w:t>
      </w:r>
      <w:r w:rsidR="00283F99" w:rsidRPr="00283F99">
        <w:rPr>
          <w:iCs/>
          <w:lang w:val="en-GB"/>
        </w:rPr>
        <w:t xml:space="preserve">, </w:t>
      </w:r>
      <w:r w:rsidR="00283F99" w:rsidRPr="00283F99">
        <w:rPr>
          <w:i/>
          <w:lang w:val="en-GB"/>
        </w:rPr>
        <w:sym w:font="Symbol" w:char="F071"/>
      </w:r>
      <w:r w:rsidR="00283F99" w:rsidRPr="00283F99">
        <w:rPr>
          <w:lang w:val="en-GB"/>
        </w:rPr>
        <w:t xml:space="preserve">) &gt; 0. </w:t>
      </w:r>
    </w:p>
    <w:p w:rsidR="00CE7FEF" w:rsidRDefault="00CE7FEF" w:rsidP="00CE7FEF">
      <w:pPr>
        <w:rPr>
          <w:lang w:val="en-GB"/>
        </w:rPr>
      </w:pPr>
    </w:p>
    <w:p w:rsidR="00CE7FEF" w:rsidRDefault="00CE7FEF" w:rsidP="00CE7FEF">
      <w:pPr>
        <w:rPr>
          <w:lang w:val="en-GB"/>
        </w:rPr>
      </w:pPr>
      <w:r>
        <w:rPr>
          <w:lang w:val="en-GB"/>
        </w:rPr>
        <w:t>-</w:t>
      </w:r>
      <w:r w:rsidR="00283F99" w:rsidRPr="00283F99">
        <w:rPr>
          <w:lang w:val="en-GB"/>
        </w:rPr>
        <w:t xml:space="preserve">We index firms by </w:t>
      </w:r>
      <w:r w:rsidR="00283F99" w:rsidRPr="00283F99">
        <w:rPr>
          <w:i/>
          <w:iCs/>
          <w:lang w:val="en-GB"/>
        </w:rPr>
        <w:t xml:space="preserve">i </w:t>
      </w:r>
      <w:r w:rsidR="00283F99" w:rsidRPr="00283F99">
        <w:rPr>
          <w:lang w:val="en-GB"/>
        </w:rPr>
        <w:t>and</w:t>
      </w:r>
      <w:r w:rsidR="00283F99" w:rsidRPr="00283F99">
        <w:rPr>
          <w:i/>
          <w:iCs/>
          <w:lang w:val="en-GB"/>
        </w:rPr>
        <w:t xml:space="preserve"> </w:t>
      </w:r>
      <w:r w:rsidR="00283F99" w:rsidRPr="00283F99">
        <w:rPr>
          <w:lang w:val="en-GB"/>
        </w:rPr>
        <w:t xml:space="preserve">denote the total number of firms as </w:t>
      </w:r>
      <w:r w:rsidR="00283F99" w:rsidRPr="00283F99">
        <w:rPr>
          <w:i/>
          <w:iCs/>
          <w:lang w:val="en-GB"/>
        </w:rPr>
        <w:t xml:space="preserve">n </w:t>
      </w:r>
      <w:r w:rsidR="00283F99" w:rsidRPr="00283F99">
        <w:rPr>
          <w:iCs/>
          <w:lang w:val="en-GB"/>
        </w:rPr>
        <w:t>(whenever possible, we avoid the use of a specific firm index for simplicity)</w:t>
      </w:r>
      <w:r w:rsidR="00283F99" w:rsidRPr="00283F99">
        <w:rPr>
          <w:i/>
          <w:iCs/>
          <w:lang w:val="en-GB"/>
        </w:rPr>
        <w:t>.</w:t>
      </w:r>
      <w:r w:rsidR="00283F99" w:rsidRPr="00283F99">
        <w:rPr>
          <w:lang w:val="en-GB"/>
        </w:rPr>
        <w:t xml:space="preserve"> The environmental target is a fixed aggregate level of emissions </w:t>
      </w:r>
      <w:r w:rsidR="00283F99" w:rsidRPr="00283F99">
        <w:rPr>
          <w:i/>
          <w:iCs/>
          <w:lang w:val="en-GB"/>
        </w:rPr>
        <w:t>E</w:t>
      </w:r>
      <w:r w:rsidR="00283F99" w:rsidRPr="00283F99">
        <w:rPr>
          <w:lang w:val="en-GB"/>
        </w:rPr>
        <w:t>, exogenously determined by the regulatory authority.</w:t>
      </w:r>
    </w:p>
    <w:p w:rsidR="00CE7FEF" w:rsidRDefault="00CE7FEF" w:rsidP="00CE7FEF">
      <w:pPr>
        <w:rPr>
          <w:lang w:val="en-GB"/>
        </w:rPr>
      </w:pPr>
    </w:p>
    <w:p w:rsidR="00CE7FEF" w:rsidRDefault="00CE7FEF" w:rsidP="00CE7FEF">
      <w:pPr>
        <w:rPr>
          <w:lang w:val="en-GB"/>
        </w:rPr>
      </w:pPr>
      <w:r>
        <w:rPr>
          <w:lang w:val="en-GB"/>
        </w:rPr>
        <w:t xml:space="preserve">-We </w:t>
      </w:r>
      <w:r w:rsidR="00283F99" w:rsidRPr="00283F99">
        <w:rPr>
          <w:lang w:val="en-GB"/>
        </w:rPr>
        <w:t xml:space="preserve">consider the case of a command and control environmental policy in which each firm faces an emissions standard </w:t>
      </w:r>
      <w:r w:rsidR="00283F99" w:rsidRPr="00283F99">
        <w:rPr>
          <w:i/>
          <w:lang w:val="en-GB"/>
        </w:rPr>
        <w:t>s</w:t>
      </w:r>
      <w:r w:rsidR="00283F99" w:rsidRPr="00283F99">
        <w:rPr>
          <w:iCs/>
          <w:lang w:val="en-GB"/>
        </w:rPr>
        <w:t xml:space="preserve">. </w:t>
      </w:r>
      <w:r w:rsidR="00283F99" w:rsidRPr="00283F99">
        <w:rPr>
          <w:lang w:val="en-GB"/>
        </w:rPr>
        <w:t>Under this policy the regulator defines for each fir</w:t>
      </w:r>
      <w:r>
        <w:rPr>
          <w:lang w:val="en-GB"/>
        </w:rPr>
        <w:t>m the maximum level of emissions</w:t>
      </w:r>
      <w:r w:rsidR="00283F99" w:rsidRPr="00283F99">
        <w:rPr>
          <w:lang w:val="en-GB"/>
        </w:rPr>
        <w:t xml:space="preserve">. </w:t>
      </w:r>
    </w:p>
    <w:p w:rsidR="00CE7FEF" w:rsidRDefault="00CE7FEF" w:rsidP="00CE7FEF">
      <w:pPr>
        <w:rPr>
          <w:lang w:val="en-GB"/>
        </w:rPr>
      </w:pPr>
    </w:p>
    <w:p w:rsidR="00CE7FEF" w:rsidRDefault="00CE7FEF" w:rsidP="00CE7FEF">
      <w:pPr>
        <w:rPr>
          <w:lang w:val="en-GB"/>
        </w:rPr>
      </w:pPr>
      <w:r>
        <w:rPr>
          <w:lang w:val="en-GB"/>
        </w:rPr>
        <w:t>-The e</w:t>
      </w:r>
      <w:r w:rsidR="00283F99" w:rsidRPr="00283F99">
        <w:rPr>
          <w:lang w:val="en-GB"/>
        </w:rPr>
        <w:t xml:space="preserve">missions standards for all firms satisfy </w:t>
      </w:r>
      <w:r w:rsidR="00283F99" w:rsidRPr="00283F99">
        <w:rPr>
          <w:color w:val="0000FF"/>
          <w:position w:val="-16"/>
          <w:lang w:val="en-GB"/>
        </w:rPr>
        <w:object w:dxaOrig="10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21pt" o:ole="">
            <v:imagedata r:id="rId7" o:title=""/>
          </v:shape>
          <o:OLEObject Type="Embed" ProgID="Equation.3" ShapeID="_x0000_i1025" DrawAspect="Content" ObjectID="_1307979892" r:id="rId8"/>
        </w:object>
      </w:r>
      <w:r>
        <w:rPr>
          <w:lang w:val="en-GB"/>
        </w:rPr>
        <w:t xml:space="preserve">. </w:t>
      </w:r>
    </w:p>
    <w:p w:rsidR="00CE7FEF" w:rsidRDefault="00CE7FEF" w:rsidP="00CE7FEF">
      <w:pPr>
        <w:rPr>
          <w:lang w:val="en-GB"/>
        </w:rPr>
      </w:pPr>
    </w:p>
    <w:p w:rsidR="00283F99" w:rsidRPr="00283F99" w:rsidRDefault="00CE7FEF" w:rsidP="00CE7FEF">
      <w:pPr>
        <w:rPr>
          <w:lang w:val="en-GB"/>
        </w:rPr>
      </w:pPr>
      <w:r>
        <w:rPr>
          <w:lang w:val="en-GB"/>
        </w:rPr>
        <w:lastRenderedPageBreak/>
        <w:t>-A</w:t>
      </w:r>
      <w:r w:rsidR="00283F99" w:rsidRPr="00283F99">
        <w:rPr>
          <w:lang w:val="en-GB"/>
        </w:rPr>
        <w:t xml:space="preserve">n emissions violation </w:t>
      </w:r>
      <w:r w:rsidR="00283F99" w:rsidRPr="00283F99">
        <w:rPr>
          <w:i/>
          <w:iCs/>
          <w:lang w:val="en-GB"/>
        </w:rPr>
        <w:t>v</w:t>
      </w:r>
      <w:r w:rsidR="00283F99" w:rsidRPr="00283F99">
        <w:rPr>
          <w:lang w:val="en-GB"/>
        </w:rPr>
        <w:t xml:space="preserve"> occurs when the firm’s emissions exceed the emissions standard: </w:t>
      </w:r>
      <w:r w:rsidR="00283F99" w:rsidRPr="00283F99">
        <w:rPr>
          <w:i/>
          <w:iCs/>
          <w:lang w:val="en-GB"/>
        </w:rPr>
        <w:t>v</w:t>
      </w:r>
      <w:r w:rsidR="00911287">
        <w:rPr>
          <w:i/>
          <w:iCs/>
          <w:vertAlign w:val="subscript"/>
          <w:lang w:val="en-GB"/>
        </w:rPr>
        <w:t>i</w:t>
      </w:r>
      <w:r w:rsidR="00283F99" w:rsidRPr="00283F99">
        <w:rPr>
          <w:lang w:val="en-GB"/>
        </w:rPr>
        <w:t xml:space="preserve"> = </w:t>
      </w:r>
      <w:r w:rsidR="00283F99" w:rsidRPr="00283F99">
        <w:rPr>
          <w:i/>
          <w:lang w:val="en-GB"/>
        </w:rPr>
        <w:t>e</w:t>
      </w:r>
      <w:r w:rsidR="00911287">
        <w:rPr>
          <w:i/>
          <w:vertAlign w:val="subscript"/>
          <w:lang w:val="en-GB"/>
        </w:rPr>
        <w:t>i</w:t>
      </w:r>
      <w:r w:rsidR="00283F99" w:rsidRPr="00283F99">
        <w:rPr>
          <w:lang w:val="en-GB"/>
        </w:rPr>
        <w:t xml:space="preserve"> </w:t>
      </w:r>
      <w:r w:rsidR="00911287">
        <w:rPr>
          <w:lang w:val="en-GB"/>
        </w:rPr>
        <w:t>–</w:t>
      </w:r>
      <w:r w:rsidR="00283F99" w:rsidRPr="00283F99">
        <w:rPr>
          <w:lang w:val="en-GB"/>
        </w:rPr>
        <w:t xml:space="preserve"> </w:t>
      </w:r>
      <w:r w:rsidR="00283F99" w:rsidRPr="00283F99">
        <w:rPr>
          <w:i/>
          <w:lang w:val="en-GB"/>
        </w:rPr>
        <w:t>s</w:t>
      </w:r>
      <w:r w:rsidR="00911287">
        <w:rPr>
          <w:i/>
          <w:vertAlign w:val="subscript"/>
          <w:lang w:val="en-GB"/>
        </w:rPr>
        <w:t>i</w:t>
      </w:r>
      <w:r w:rsidR="00283F99" w:rsidRPr="00283F99">
        <w:rPr>
          <w:lang w:val="en-GB"/>
        </w:rPr>
        <w:t xml:space="preserve"> &gt; 0. The firm is compliant otherwise.</w:t>
      </w:r>
    </w:p>
    <w:p w:rsidR="00CE7FEF" w:rsidRDefault="00CE7FEF" w:rsidP="00CE7FEF">
      <w:pPr>
        <w:rPr>
          <w:iCs/>
          <w:lang w:val="en-GB"/>
        </w:rPr>
      </w:pPr>
    </w:p>
    <w:p w:rsidR="00CE7FEF" w:rsidRPr="00CE7FEF" w:rsidRDefault="00CE7FEF" w:rsidP="00CE7FEF">
      <w:pPr>
        <w:rPr>
          <w:i/>
          <w:iCs/>
          <w:lang w:val="en-GB"/>
        </w:rPr>
      </w:pPr>
      <w:r w:rsidRPr="00CE7FEF">
        <w:rPr>
          <w:i/>
          <w:iCs/>
          <w:lang w:val="en-GB"/>
        </w:rPr>
        <w:t>Enforcement</w:t>
      </w:r>
    </w:p>
    <w:p w:rsidR="00ED4CD3" w:rsidRDefault="00ED4CD3" w:rsidP="00CE7FEF">
      <w:pPr>
        <w:rPr>
          <w:iCs/>
          <w:lang w:val="en-GB"/>
        </w:rPr>
      </w:pPr>
    </w:p>
    <w:p w:rsidR="00ED4CD3" w:rsidRDefault="00CE7FEF" w:rsidP="00CE7FEF">
      <w:pPr>
        <w:rPr>
          <w:lang w:val="en-GB"/>
        </w:rPr>
      </w:pPr>
      <w:r>
        <w:rPr>
          <w:iCs/>
          <w:lang w:val="en-GB"/>
        </w:rPr>
        <w:t>-</w:t>
      </w:r>
      <w:r w:rsidR="00283F99" w:rsidRPr="00283F99">
        <w:rPr>
          <w:iCs/>
          <w:lang w:val="en-GB"/>
        </w:rPr>
        <w:t>As for enforcement</w:t>
      </w:r>
      <w:r w:rsidR="00283F99" w:rsidRPr="00283F99">
        <w:rPr>
          <w:lang w:val="en-GB"/>
        </w:rPr>
        <w:t xml:space="preserve">, the firm faces a random probability of being audited </w:t>
      </w:r>
      <w:r w:rsidR="00283F99" w:rsidRPr="00283F99">
        <w:rPr>
          <w:i/>
          <w:lang w:val="en-GB"/>
        </w:rPr>
        <w:sym w:font="Symbol" w:char="F070"/>
      </w:r>
      <w:r w:rsidR="00283F99" w:rsidRPr="00283F99">
        <w:rPr>
          <w:i/>
          <w:lang w:val="en-GB"/>
        </w:rPr>
        <w:t>.</w:t>
      </w:r>
      <w:r w:rsidR="00283F99" w:rsidRPr="00283F99">
        <w:rPr>
          <w:lang w:val="en-GB"/>
        </w:rPr>
        <w:t xml:space="preserve"> </w:t>
      </w:r>
    </w:p>
    <w:p w:rsidR="00ED4CD3" w:rsidRDefault="00ED4CD3" w:rsidP="00CE7FEF">
      <w:pPr>
        <w:rPr>
          <w:lang w:val="en-GB"/>
        </w:rPr>
      </w:pPr>
    </w:p>
    <w:p w:rsidR="00283F99" w:rsidRDefault="00ED4CD3" w:rsidP="00CE7FEF">
      <w:pPr>
        <w:rPr>
          <w:lang w:val="en-GB"/>
        </w:rPr>
      </w:pPr>
      <w:r>
        <w:rPr>
          <w:lang w:val="en-GB"/>
        </w:rPr>
        <w:t>-A</w:t>
      </w:r>
      <w:r w:rsidR="00283F99" w:rsidRPr="00283F99">
        <w:rPr>
          <w:lang w:val="en-GB"/>
        </w:rPr>
        <w:t xml:space="preserve">n audit provides the regulator perfect information about firms’ compliance status. If the firm is audited and found in violation, a penalty </w:t>
      </w:r>
      <w:r w:rsidR="00283F99" w:rsidRPr="00283F99">
        <w:rPr>
          <w:i/>
          <w:lang w:val="en-GB"/>
        </w:rPr>
        <w:t>f</w:t>
      </w:r>
      <w:r w:rsidR="00283F99" w:rsidRPr="00283F99">
        <w:rPr>
          <w:lang w:val="en-GB"/>
        </w:rPr>
        <w:t xml:space="preserve"> (</w:t>
      </w:r>
      <w:r w:rsidR="00283F99" w:rsidRPr="00283F99">
        <w:rPr>
          <w:i/>
          <w:iCs/>
          <w:lang w:val="en-GB"/>
        </w:rPr>
        <w:t>v</w:t>
      </w:r>
      <w:r w:rsidR="00283F99" w:rsidRPr="00283F99">
        <w:rPr>
          <w:lang w:val="en-GB"/>
        </w:rPr>
        <w:t>) is imposed. The penalty is assumed to be zero for a zero violation, but the marginal penalty for a zero violation is greater than zero [</w:t>
      </w:r>
      <w:r w:rsidR="00283F99" w:rsidRPr="00283F99">
        <w:rPr>
          <w:i/>
          <w:lang w:val="en-GB"/>
        </w:rPr>
        <w:t>f</w:t>
      </w:r>
      <w:r w:rsidR="00283F99" w:rsidRPr="00283F99">
        <w:rPr>
          <w:lang w:val="en-GB"/>
        </w:rPr>
        <w:t xml:space="preserve"> (0) = </w:t>
      </w:r>
      <w:smartTag w:uri="urn:schemas-microsoft-com:office:smarttags" w:element="metricconverter">
        <w:smartTagPr>
          <w:attr w:name="ProductID" w:val="0, f"/>
        </w:smartTagPr>
        <w:r w:rsidR="00283F99" w:rsidRPr="00283F99">
          <w:rPr>
            <w:lang w:val="en-GB"/>
          </w:rPr>
          <w:t xml:space="preserve">0, </w:t>
        </w:r>
        <w:r w:rsidR="00283F99" w:rsidRPr="00283F99">
          <w:rPr>
            <w:i/>
            <w:lang w:val="en-GB"/>
          </w:rPr>
          <w:t>f</w:t>
        </w:r>
      </w:smartTag>
      <w:r w:rsidR="00283F99" w:rsidRPr="00283F99">
        <w:rPr>
          <w:lang w:val="en-GB"/>
        </w:rPr>
        <w:t xml:space="preserve"> </w:t>
      </w:r>
      <w:r w:rsidR="00283F99" w:rsidRPr="00283F99">
        <w:rPr>
          <w:lang w:val="en-GB"/>
        </w:rPr>
        <w:sym w:font="Symbol" w:char="F0A2"/>
      </w:r>
      <w:r w:rsidR="00283F99" w:rsidRPr="00283F99">
        <w:rPr>
          <w:lang w:val="en-GB"/>
        </w:rPr>
        <w:t>(0) &gt; 0]. For a positive violation, the penalty increases at an increasing rate [</w:t>
      </w:r>
      <w:r w:rsidR="00283F99" w:rsidRPr="00283F99">
        <w:rPr>
          <w:i/>
          <w:lang w:val="en-GB"/>
        </w:rPr>
        <w:t>f</w:t>
      </w:r>
      <w:r w:rsidR="00283F99" w:rsidRPr="00283F99">
        <w:rPr>
          <w:lang w:val="en-GB"/>
        </w:rPr>
        <w:t xml:space="preserve"> </w:t>
      </w:r>
      <w:r w:rsidR="00283F99" w:rsidRPr="00283F99">
        <w:rPr>
          <w:lang w:val="en-GB"/>
        </w:rPr>
        <w:sym w:font="Symbol" w:char="F0A2"/>
      </w:r>
      <w:r w:rsidR="00283F99" w:rsidRPr="00283F99">
        <w:rPr>
          <w:lang w:val="en-GB"/>
        </w:rPr>
        <w:sym w:font="Symbol" w:char="F0A2"/>
      </w:r>
      <w:r w:rsidR="00283F99" w:rsidRPr="00283F99">
        <w:rPr>
          <w:lang w:val="en-GB"/>
        </w:rPr>
        <w:t xml:space="preserve"> (</w:t>
      </w:r>
      <w:r w:rsidR="00283F99" w:rsidRPr="00283F99">
        <w:rPr>
          <w:i/>
          <w:iCs/>
          <w:lang w:val="en-GB"/>
        </w:rPr>
        <w:t>v</w:t>
      </w:r>
      <w:r w:rsidR="00283F99" w:rsidRPr="00283F99">
        <w:rPr>
          <w:lang w:val="en-GB"/>
        </w:rPr>
        <w:t>) &gt; 0].</w:t>
      </w:r>
      <w:r>
        <w:rPr>
          <w:lang w:val="en-GB"/>
        </w:rPr>
        <w:t xml:space="preserve">  </w:t>
      </w:r>
      <w:r w:rsidRPr="00ED4CD3">
        <w:rPr>
          <w:highlight w:val="yellow"/>
          <w:lang w:val="en-GB"/>
        </w:rPr>
        <w:t>Should we introduce as early as here the discusion about different penalty structures?</w:t>
      </w:r>
    </w:p>
    <w:p w:rsidR="00ED4CD3" w:rsidRPr="00283F99" w:rsidDel="009569FA" w:rsidRDefault="00ED4CD3" w:rsidP="00CE7FEF">
      <w:pPr>
        <w:rPr>
          <w:lang w:val="en-GB"/>
        </w:rPr>
      </w:pPr>
    </w:p>
    <w:p w:rsidR="00283F99" w:rsidRDefault="00283F99" w:rsidP="00283F99">
      <w:pPr>
        <w:rPr>
          <w:lang w:val="en-GB"/>
        </w:rPr>
      </w:pPr>
      <w:r w:rsidRPr="00283F99">
        <w:rPr>
          <w:lang w:val="en-GB"/>
        </w:rPr>
        <w:t xml:space="preserve"> </w:t>
      </w:r>
      <w:r w:rsidR="00ED4CD3">
        <w:rPr>
          <w:lang w:val="en-GB"/>
        </w:rPr>
        <w:t>-In our analysis, p</w:t>
      </w:r>
      <w:r w:rsidRPr="00283F99">
        <w:rPr>
          <w:lang w:val="en-GB"/>
        </w:rPr>
        <w:t xml:space="preserve">erfect compliance is a possible outcome, </w:t>
      </w:r>
      <w:r w:rsidR="00ED4CD3">
        <w:rPr>
          <w:lang w:val="en-GB"/>
        </w:rPr>
        <w:t xml:space="preserve">then </w:t>
      </w:r>
      <w:r w:rsidRPr="00283F99">
        <w:rPr>
          <w:lang w:val="en-GB"/>
        </w:rPr>
        <w:t>we</w:t>
      </w:r>
      <w:r w:rsidR="00ED4CD3">
        <w:rPr>
          <w:lang w:val="en-GB"/>
        </w:rPr>
        <w:t xml:space="preserve"> shall</w:t>
      </w:r>
      <w:r w:rsidRPr="00283F99">
        <w:rPr>
          <w:lang w:val="en-GB"/>
        </w:rPr>
        <w:t xml:space="preserve"> assume –</w:t>
      </w:r>
      <w:r w:rsidRPr="00283F99">
        <w:rPr>
          <w:i/>
          <w:lang w:val="en-GB"/>
        </w:rPr>
        <w:t>c</w:t>
      </w:r>
      <w:r w:rsidRPr="00283F99">
        <w:rPr>
          <w:i/>
          <w:vertAlign w:val="subscript"/>
          <w:lang w:val="en-GB"/>
        </w:rPr>
        <w:t>e</w:t>
      </w:r>
      <w:r w:rsidR="00D4737B">
        <w:rPr>
          <w:i/>
          <w:vertAlign w:val="subscript"/>
          <w:lang w:val="en-GB"/>
        </w:rPr>
        <w:t>i</w:t>
      </w:r>
      <w:r w:rsidRPr="00283F99">
        <w:rPr>
          <w:iCs/>
          <w:vertAlign w:val="subscript"/>
          <w:lang w:val="en-GB"/>
        </w:rPr>
        <w:t xml:space="preserve"> </w:t>
      </w:r>
      <w:r w:rsidRPr="00283F99">
        <w:rPr>
          <w:lang w:val="en-GB"/>
        </w:rPr>
        <w:t>(</w:t>
      </w:r>
      <w:r w:rsidRPr="00283F99">
        <w:rPr>
          <w:i/>
          <w:lang w:val="en-GB"/>
        </w:rPr>
        <w:t>s</w:t>
      </w:r>
      <w:r w:rsidR="00D4737B">
        <w:rPr>
          <w:i/>
          <w:vertAlign w:val="subscript"/>
          <w:lang w:val="en-GB"/>
        </w:rPr>
        <w:t>i</w:t>
      </w:r>
      <w:r w:rsidRPr="00283F99">
        <w:rPr>
          <w:lang w:val="en-GB"/>
        </w:rPr>
        <w:t>,</w:t>
      </w:r>
      <w:r w:rsidRPr="00283F99">
        <w:rPr>
          <w:i/>
          <w:lang w:val="en-GB"/>
        </w:rPr>
        <w:sym w:font="Symbol" w:char="F071"/>
      </w:r>
      <w:r w:rsidR="00D4737B">
        <w:rPr>
          <w:i/>
          <w:vertAlign w:val="subscript"/>
          <w:lang w:val="en-GB"/>
        </w:rPr>
        <w:t>i</w:t>
      </w:r>
      <w:r w:rsidRPr="00283F99">
        <w:rPr>
          <w:lang w:val="en-GB"/>
        </w:rPr>
        <w:t xml:space="preserve">) ≤ </w:t>
      </w:r>
      <w:r w:rsidRPr="00283F99">
        <w:rPr>
          <w:i/>
          <w:lang w:val="en-GB"/>
        </w:rPr>
        <w:t xml:space="preserve">f </w:t>
      </w:r>
      <w:r w:rsidRPr="00283F99">
        <w:rPr>
          <w:lang w:val="en-GB"/>
        </w:rPr>
        <w:sym w:font="Symbol" w:char="F0A2"/>
      </w:r>
      <w:r w:rsidRPr="00283F99">
        <w:rPr>
          <w:lang w:val="en-GB"/>
        </w:rPr>
        <w:t>(0); that is, the firm’s marginal abatement cost evaluated at the standard is not greater than the marginal penalty for a slight violation.</w:t>
      </w:r>
      <w:r w:rsidRPr="00283F99">
        <w:rPr>
          <w:rStyle w:val="Refdenotaalpie"/>
          <w:iCs/>
          <w:lang w:val="en-GB"/>
        </w:rPr>
        <w:footnoteReference w:id="4"/>
      </w:r>
    </w:p>
    <w:p w:rsidR="00ED4CD3" w:rsidRPr="00283F99" w:rsidRDefault="00ED4CD3" w:rsidP="00283F99">
      <w:pPr>
        <w:rPr>
          <w:lang w:val="en-GB"/>
        </w:rPr>
      </w:pPr>
    </w:p>
    <w:p w:rsidR="00283F99" w:rsidRPr="00283F99" w:rsidRDefault="00ED4CD3" w:rsidP="00ED4CD3">
      <w:pPr>
        <w:pStyle w:val="Sangradetextonormal"/>
        <w:ind w:left="0"/>
        <w:rPr>
          <w:lang w:val="en-US"/>
        </w:rPr>
      </w:pPr>
      <w:r>
        <w:rPr>
          <w:lang w:val="en-US"/>
        </w:rPr>
        <w:t>-</w:t>
      </w:r>
      <w:r w:rsidR="00283F99" w:rsidRPr="00283F99">
        <w:rPr>
          <w:lang w:val="en-US"/>
        </w:rPr>
        <w:t>Under an emissions standard, a firm</w:t>
      </w:r>
      <w:r w:rsidR="00911287">
        <w:rPr>
          <w:lang w:val="en-US"/>
        </w:rPr>
        <w:t xml:space="preserve"> </w:t>
      </w:r>
      <w:r w:rsidR="00911287">
        <w:rPr>
          <w:i/>
          <w:lang w:val="en-US"/>
        </w:rPr>
        <w:t>i</w:t>
      </w:r>
      <w:r w:rsidR="00283F99" w:rsidRPr="00283F99">
        <w:rPr>
          <w:lang w:val="en-US"/>
        </w:rPr>
        <w:t xml:space="preserve"> chooses the level of emissions to minimize total expected compliance cost, which consists of its abatement costs plus the expected penalty. Thus, a firm’s problem is to choose the level of emissions to solve</w:t>
      </w:r>
    </w:p>
    <w:p w:rsidR="00283F99" w:rsidRPr="00283F99" w:rsidRDefault="00283F99" w:rsidP="00283F99">
      <w:pPr>
        <w:pStyle w:val="Sangradetextonormal"/>
        <w:rPr>
          <w:lang w:val="en-US"/>
        </w:rPr>
      </w:pPr>
    </w:p>
    <w:p w:rsidR="00283F99" w:rsidRPr="00D4737B" w:rsidRDefault="00283F99" w:rsidP="00283F99">
      <w:pPr>
        <w:ind w:left="2160" w:firstLine="720"/>
        <w:rPr>
          <w:b/>
          <w:lang w:val="en-US"/>
        </w:rPr>
      </w:pPr>
      <w:r w:rsidRPr="00D4737B">
        <w:rPr>
          <w:i/>
          <w:lang w:val="en-US"/>
        </w:rPr>
        <w:t>min</w:t>
      </w:r>
      <w:r w:rsidRPr="00D4737B">
        <w:rPr>
          <w:lang w:val="en-US"/>
        </w:rPr>
        <w:t xml:space="preserve"> </w:t>
      </w:r>
      <w:r w:rsidRPr="00D4737B">
        <w:rPr>
          <w:i/>
          <w:lang w:val="en-US"/>
        </w:rPr>
        <w:t>c</w:t>
      </w:r>
      <w:r w:rsidR="00D4737B" w:rsidRPr="00D4737B">
        <w:rPr>
          <w:i/>
          <w:vertAlign w:val="subscript"/>
          <w:lang w:val="en-US"/>
        </w:rPr>
        <w:t>i</w:t>
      </w:r>
      <w:r w:rsidRPr="00D4737B">
        <w:rPr>
          <w:lang w:val="en-US"/>
        </w:rPr>
        <w:t>(</w:t>
      </w:r>
      <w:r w:rsidRPr="00D4737B">
        <w:rPr>
          <w:i/>
          <w:lang w:val="en-US"/>
        </w:rPr>
        <w:t>e</w:t>
      </w:r>
      <w:r w:rsidR="00D4737B" w:rsidRPr="00D4737B">
        <w:rPr>
          <w:i/>
          <w:vertAlign w:val="subscript"/>
          <w:lang w:val="en-US"/>
        </w:rPr>
        <w:t>i</w:t>
      </w:r>
      <w:r w:rsidRPr="00D4737B">
        <w:rPr>
          <w:iCs/>
          <w:lang w:val="en-US"/>
        </w:rPr>
        <w:t xml:space="preserve">, </w:t>
      </w:r>
      <w:r w:rsidRPr="00283F99">
        <w:rPr>
          <w:i/>
          <w:lang w:val="en-GB"/>
        </w:rPr>
        <w:sym w:font="Symbol" w:char="F071"/>
      </w:r>
      <w:r w:rsidR="00D4737B">
        <w:rPr>
          <w:i/>
          <w:vertAlign w:val="subscript"/>
          <w:lang w:val="en-GB"/>
        </w:rPr>
        <w:t>i</w:t>
      </w:r>
      <w:r w:rsidRPr="00D4737B">
        <w:rPr>
          <w:i/>
          <w:lang w:val="en-US"/>
        </w:rPr>
        <w:t xml:space="preserve"> </w:t>
      </w:r>
      <w:r w:rsidRPr="00D4737B">
        <w:rPr>
          <w:lang w:val="en-US"/>
        </w:rPr>
        <w:t xml:space="preserve">) + </w:t>
      </w:r>
      <w:r w:rsidRPr="00283F99">
        <w:rPr>
          <w:i/>
          <w:lang w:val="en-GB"/>
        </w:rPr>
        <w:sym w:font="Symbol" w:char="F070"/>
      </w:r>
      <w:r w:rsidR="00D4737B">
        <w:rPr>
          <w:i/>
          <w:vertAlign w:val="subscript"/>
          <w:lang w:val="en-GB"/>
        </w:rPr>
        <w:t>i</w:t>
      </w:r>
      <w:r w:rsidRPr="00D4737B">
        <w:rPr>
          <w:lang w:val="en-US"/>
        </w:rPr>
        <w:t xml:space="preserve"> </w:t>
      </w:r>
      <w:r w:rsidRPr="00D4737B">
        <w:rPr>
          <w:i/>
          <w:lang w:val="en-US"/>
        </w:rPr>
        <w:t>f</w:t>
      </w:r>
      <w:r w:rsidRPr="00D4737B">
        <w:rPr>
          <w:lang w:val="en-US"/>
        </w:rPr>
        <w:t>(</w:t>
      </w:r>
      <w:r w:rsidRPr="00D4737B">
        <w:rPr>
          <w:i/>
          <w:lang w:val="en-US"/>
        </w:rPr>
        <w:t>e</w:t>
      </w:r>
      <w:r w:rsidR="00D4737B" w:rsidRPr="00D4737B">
        <w:rPr>
          <w:i/>
          <w:vertAlign w:val="subscript"/>
          <w:lang w:val="en-US"/>
        </w:rPr>
        <w:t>i</w:t>
      </w:r>
      <w:r w:rsidRPr="00D4737B">
        <w:rPr>
          <w:lang w:val="en-US"/>
        </w:rPr>
        <w:t xml:space="preserve"> </w:t>
      </w:r>
      <w:r w:rsidR="00D4737B" w:rsidRPr="00D4737B">
        <w:rPr>
          <w:lang w:val="en-US"/>
        </w:rPr>
        <w:t>–</w:t>
      </w:r>
      <w:r w:rsidRPr="00D4737B">
        <w:rPr>
          <w:lang w:val="en-US"/>
        </w:rPr>
        <w:t xml:space="preserve"> </w:t>
      </w:r>
      <w:r w:rsidRPr="00D4737B">
        <w:rPr>
          <w:i/>
          <w:lang w:val="en-US"/>
        </w:rPr>
        <w:t>s</w:t>
      </w:r>
      <w:r w:rsidR="00D4737B" w:rsidRPr="00D4737B">
        <w:rPr>
          <w:i/>
          <w:vertAlign w:val="subscript"/>
          <w:lang w:val="en-US"/>
        </w:rPr>
        <w:t>i</w:t>
      </w:r>
      <w:r w:rsidRPr="00D4737B">
        <w:rPr>
          <w:lang w:val="en-US"/>
        </w:rPr>
        <w:t>)</w:t>
      </w:r>
      <w:r w:rsidRPr="00D4737B">
        <w:rPr>
          <w:lang w:val="en-US"/>
        </w:rPr>
        <w:tab/>
      </w:r>
      <w:r w:rsidRPr="00D4737B">
        <w:rPr>
          <w:lang w:val="en-US"/>
        </w:rPr>
        <w:tab/>
      </w:r>
      <w:r w:rsidR="00444E52" w:rsidRPr="00D4737B">
        <w:rPr>
          <w:lang w:val="en-US"/>
        </w:rPr>
        <w:tab/>
      </w:r>
      <w:r w:rsidR="00444E52" w:rsidRPr="00D4737B">
        <w:rPr>
          <w:lang w:val="en-US"/>
        </w:rPr>
        <w:tab/>
      </w:r>
    </w:p>
    <w:p w:rsidR="00283F99" w:rsidRPr="00D4737B" w:rsidRDefault="00283F99" w:rsidP="00283F99">
      <w:pPr>
        <w:ind w:left="2160" w:firstLine="720"/>
        <w:rPr>
          <w:lang w:val="en-US"/>
        </w:rPr>
      </w:pPr>
      <w:r w:rsidRPr="00D4737B">
        <w:rPr>
          <w:i/>
          <w:lang w:val="en-US"/>
        </w:rPr>
        <w:t>s</w:t>
      </w:r>
      <w:r w:rsidRPr="00D4737B">
        <w:rPr>
          <w:lang w:val="en-US"/>
        </w:rPr>
        <w:t>.</w:t>
      </w:r>
      <w:r w:rsidRPr="00D4737B">
        <w:rPr>
          <w:i/>
          <w:lang w:val="en-US"/>
        </w:rPr>
        <w:t>t</w:t>
      </w:r>
      <w:r w:rsidRPr="00D4737B">
        <w:rPr>
          <w:lang w:val="en-US"/>
        </w:rPr>
        <w:t xml:space="preserve">. </w:t>
      </w:r>
      <w:r w:rsidRPr="00D4737B">
        <w:rPr>
          <w:i/>
          <w:lang w:val="en-US"/>
        </w:rPr>
        <w:t>e</w:t>
      </w:r>
      <w:r w:rsidR="00D4737B" w:rsidRPr="00D4737B">
        <w:rPr>
          <w:i/>
          <w:vertAlign w:val="subscript"/>
          <w:lang w:val="en-US"/>
        </w:rPr>
        <w:t>i</w:t>
      </w:r>
      <w:r w:rsidRPr="00D4737B">
        <w:rPr>
          <w:lang w:val="en-US"/>
        </w:rPr>
        <w:t xml:space="preserve"> – </w:t>
      </w:r>
      <w:r w:rsidRPr="00D4737B">
        <w:rPr>
          <w:i/>
          <w:lang w:val="en-US"/>
        </w:rPr>
        <w:t>s</w:t>
      </w:r>
      <w:r w:rsidR="00D4737B" w:rsidRPr="00D4737B">
        <w:rPr>
          <w:i/>
          <w:vertAlign w:val="subscript"/>
          <w:lang w:val="en-US"/>
        </w:rPr>
        <w:t>i</w:t>
      </w:r>
      <w:r w:rsidRPr="00D4737B">
        <w:rPr>
          <w:lang w:val="en-US"/>
        </w:rPr>
        <w:t xml:space="preserve"> </w:t>
      </w:r>
      <w:r w:rsidRPr="00283F99">
        <w:rPr>
          <w:lang w:val="en-GB"/>
        </w:rPr>
        <w:sym w:font="Symbol" w:char="F0B3"/>
      </w:r>
      <w:r w:rsidRPr="00D4737B">
        <w:rPr>
          <w:lang w:val="en-US"/>
        </w:rPr>
        <w:t xml:space="preserve"> 0.</w:t>
      </w:r>
    </w:p>
    <w:p w:rsidR="00283F99" w:rsidRPr="00D4737B" w:rsidRDefault="00283F99" w:rsidP="00283F99">
      <w:pPr>
        <w:rPr>
          <w:bCs/>
          <w:lang w:val="en-US"/>
        </w:rPr>
      </w:pPr>
    </w:p>
    <w:p w:rsidR="00283F99" w:rsidRDefault="00283F99" w:rsidP="00283F99">
      <w:pPr>
        <w:rPr>
          <w:bCs/>
          <w:lang w:val="en-GB"/>
        </w:rPr>
      </w:pPr>
      <w:r w:rsidRPr="00283F99">
        <w:rPr>
          <w:bCs/>
          <w:lang w:val="en-GB"/>
        </w:rPr>
        <w:t>The Lagrange equation for the problem in (1) is given by</w:t>
      </w:r>
      <w:r w:rsidR="00201563" w:rsidRPr="00D4737B">
        <w:rPr>
          <w:position w:val="-12"/>
          <w:lang w:val="en-GB"/>
        </w:rPr>
        <w:object w:dxaOrig="3840" w:dyaOrig="360">
          <v:shape id="_x0000_i1038" type="#_x0000_t75" style="width:191.25pt;height:18pt" o:ole="">
            <v:imagedata r:id="rId9" o:title=""/>
          </v:shape>
          <o:OLEObject Type="Embed" ProgID="Equation.3" ShapeID="_x0000_i1038" DrawAspect="Content" ObjectID="_1307979893" r:id="rId10"/>
        </w:object>
      </w:r>
      <w:r w:rsidRPr="00283F99">
        <w:rPr>
          <w:lang w:val="en-GB"/>
        </w:rPr>
        <w:t>, which gives</w:t>
      </w:r>
      <w:r w:rsidRPr="00283F99">
        <w:rPr>
          <w:bCs/>
          <w:lang w:val="en-GB"/>
        </w:rPr>
        <w:t xml:space="preserve"> the set of necessary Kuhn-Tucker conditions:</w:t>
      </w:r>
    </w:p>
    <w:p w:rsidR="00DC2DF5" w:rsidRPr="00283F99" w:rsidRDefault="00DC2DF5" w:rsidP="00283F99">
      <w:pPr>
        <w:rPr>
          <w:bCs/>
          <w:lang w:val="en-GB"/>
        </w:rPr>
      </w:pPr>
    </w:p>
    <w:p w:rsidR="00283F99" w:rsidRDefault="00D4737B" w:rsidP="00283F99">
      <w:pPr>
        <w:ind w:left="2160" w:firstLine="720"/>
        <w:rPr>
          <w:lang w:val="en-GB"/>
        </w:rPr>
      </w:pPr>
      <w:r w:rsidRPr="00D4737B">
        <w:rPr>
          <w:position w:val="-30"/>
          <w:lang w:val="en-GB"/>
        </w:rPr>
        <w:object w:dxaOrig="3780" w:dyaOrig="700">
          <v:shape id="_x0000_i1026" type="#_x0000_t75" style="width:189pt;height:34.5pt" o:ole="">
            <v:imagedata r:id="rId11" o:title=""/>
          </v:shape>
          <o:OLEObject Type="Embed" ProgID="Equation.3" ShapeID="_x0000_i1026" DrawAspect="Content" ObjectID="_1307979894" r:id="rId12"/>
        </w:object>
      </w:r>
      <w:r>
        <w:rPr>
          <w:lang w:val="en-GB"/>
        </w:rPr>
        <w:tab/>
      </w:r>
      <w:r>
        <w:rPr>
          <w:lang w:val="en-GB"/>
        </w:rPr>
        <w:tab/>
      </w:r>
    </w:p>
    <w:p w:rsidR="00DC2DF5" w:rsidRPr="00283F99" w:rsidRDefault="00DC2DF5" w:rsidP="00283F99">
      <w:pPr>
        <w:ind w:left="2160" w:firstLine="720"/>
        <w:rPr>
          <w:b/>
          <w:lang w:val="en-GB"/>
        </w:rPr>
      </w:pPr>
    </w:p>
    <w:p w:rsidR="00283F99" w:rsidRPr="00283F99" w:rsidRDefault="0080230A" w:rsidP="00283F99">
      <w:pPr>
        <w:ind w:left="2160" w:firstLine="720"/>
        <w:rPr>
          <w:b/>
          <w:lang w:val="en-GB"/>
        </w:rPr>
      </w:pPr>
      <w:r w:rsidRPr="00D4737B">
        <w:rPr>
          <w:position w:val="-30"/>
          <w:lang w:val="en-GB"/>
        </w:rPr>
        <w:object w:dxaOrig="3780" w:dyaOrig="700">
          <v:shape id="_x0000_i1027" type="#_x0000_t75" style="width:189pt;height:35.25pt" o:ole="">
            <v:imagedata r:id="rId13" o:title=""/>
          </v:shape>
          <o:OLEObject Type="Embed" ProgID="Equation.3" ShapeID="_x0000_i1027" DrawAspect="Content" ObjectID="_1307979895" r:id="rId14"/>
        </w:object>
      </w:r>
      <w:r w:rsidR="00283F99" w:rsidRPr="00283F99">
        <w:rPr>
          <w:lang w:val="en-GB"/>
        </w:rPr>
        <w:tab/>
      </w:r>
      <w:r w:rsidR="00283F99" w:rsidRPr="00283F99">
        <w:rPr>
          <w:lang w:val="en-GB"/>
        </w:rPr>
        <w:tab/>
      </w:r>
      <w:r w:rsidR="00283F99" w:rsidRPr="00283F99">
        <w:rPr>
          <w:lang w:val="en-GB"/>
        </w:rPr>
        <w:tab/>
      </w:r>
    </w:p>
    <w:p w:rsidR="005F40A6" w:rsidRDefault="005F40A6">
      <w:pPr>
        <w:rPr>
          <w:b/>
          <w:iCs/>
          <w:lang w:val="en-GB"/>
        </w:rPr>
      </w:pPr>
    </w:p>
    <w:p w:rsidR="009951ED" w:rsidRDefault="009951ED">
      <w:pPr>
        <w:rPr>
          <w:i/>
          <w:iCs/>
          <w:lang w:val="en-GB"/>
        </w:rPr>
      </w:pPr>
    </w:p>
    <w:p w:rsidR="009951ED" w:rsidRDefault="009951ED">
      <w:pPr>
        <w:rPr>
          <w:i/>
          <w:iCs/>
          <w:lang w:val="en-GB"/>
        </w:rPr>
      </w:pPr>
    </w:p>
    <w:p w:rsidR="009951ED" w:rsidRDefault="009951ED">
      <w:pPr>
        <w:rPr>
          <w:i/>
          <w:iCs/>
          <w:lang w:val="en-GB"/>
        </w:rPr>
      </w:pPr>
    </w:p>
    <w:p w:rsidR="009951ED" w:rsidRDefault="009951ED">
      <w:pPr>
        <w:rPr>
          <w:i/>
          <w:iCs/>
          <w:lang w:val="en-GB"/>
        </w:rPr>
      </w:pPr>
    </w:p>
    <w:p w:rsidR="009951ED" w:rsidRDefault="009951ED">
      <w:pPr>
        <w:rPr>
          <w:i/>
          <w:iCs/>
          <w:lang w:val="en-GB"/>
        </w:rPr>
      </w:pPr>
    </w:p>
    <w:p w:rsidR="000355BB" w:rsidRPr="000355BB" w:rsidRDefault="000355BB">
      <w:pPr>
        <w:rPr>
          <w:i/>
          <w:iCs/>
          <w:lang w:val="en-GB"/>
        </w:rPr>
      </w:pPr>
      <w:r w:rsidRPr="000355BB">
        <w:rPr>
          <w:i/>
          <w:iCs/>
          <w:lang w:val="en-GB"/>
        </w:rPr>
        <w:lastRenderedPageBreak/>
        <w:t>Firm’s Choices</w:t>
      </w:r>
    </w:p>
    <w:p w:rsidR="000355BB" w:rsidRDefault="000355BB">
      <w:pPr>
        <w:rPr>
          <w:b/>
          <w:iCs/>
          <w:lang w:val="en-GB"/>
        </w:rPr>
      </w:pPr>
    </w:p>
    <w:p w:rsidR="009951ED" w:rsidRDefault="009951ED" w:rsidP="000355BB">
      <w:pPr>
        <w:pStyle w:val="Sangradetextonormal"/>
        <w:spacing w:after="0"/>
        <w:ind w:left="0"/>
        <w:rPr>
          <w:lang w:val="en-GB"/>
        </w:rPr>
      </w:pPr>
      <w:r>
        <w:rPr>
          <w:lang w:val="en-GB"/>
        </w:rPr>
        <w:t>-From the regulator perspective, the firm’s emissions choice is given by:</w:t>
      </w:r>
    </w:p>
    <w:p w:rsidR="009951ED" w:rsidRDefault="009951ED" w:rsidP="000355BB">
      <w:pPr>
        <w:pStyle w:val="Sangradetextonormal"/>
        <w:spacing w:after="0"/>
        <w:ind w:left="0"/>
        <w:rPr>
          <w:lang w:val="en-GB"/>
        </w:rPr>
      </w:pPr>
    </w:p>
    <w:p w:rsidR="009951ED" w:rsidRDefault="00D663AC" w:rsidP="0092133C">
      <w:pPr>
        <w:pStyle w:val="Sangradetextonormal"/>
        <w:spacing w:after="0"/>
        <w:ind w:left="708" w:firstLine="708"/>
        <w:rPr>
          <w:lang w:val="en-GB"/>
        </w:rPr>
      </w:pPr>
      <w:r w:rsidRPr="0092133C">
        <w:rPr>
          <w:position w:val="-14"/>
          <w:lang w:val="en-GB"/>
        </w:rPr>
        <w:object w:dxaOrig="3920" w:dyaOrig="400">
          <v:shape id="_x0000_i1028" type="#_x0000_t75" style="width:195.75pt;height:20.25pt" o:ole="" fillcolor="window">
            <v:imagedata r:id="rId15" o:title=""/>
          </v:shape>
          <o:OLEObject Type="Embed" ProgID="Equation.3" ShapeID="_x0000_i1028" DrawAspect="Content" ObjectID="_1307979896" r:id="rId16"/>
        </w:object>
      </w:r>
    </w:p>
    <w:p w:rsidR="009951ED" w:rsidRDefault="009951ED" w:rsidP="000355BB">
      <w:pPr>
        <w:pStyle w:val="Sangradetextonormal"/>
        <w:spacing w:after="0"/>
        <w:ind w:left="0"/>
        <w:rPr>
          <w:lang w:val="en-GB"/>
        </w:rPr>
      </w:pPr>
    </w:p>
    <w:p w:rsidR="0092133C" w:rsidRDefault="00911287" w:rsidP="0092133C">
      <w:pPr>
        <w:pStyle w:val="Sangradetextonormal"/>
        <w:spacing w:after="0"/>
        <w:ind w:left="708" w:firstLine="708"/>
        <w:rPr>
          <w:lang w:val="en-GB"/>
        </w:rPr>
      </w:pPr>
      <w:r w:rsidRPr="0092133C">
        <w:rPr>
          <w:position w:val="-14"/>
          <w:lang w:val="en-GB"/>
        </w:rPr>
        <w:object w:dxaOrig="5360" w:dyaOrig="400">
          <v:shape id="_x0000_i1029" type="#_x0000_t75" style="width:267.75pt;height:20.25pt" o:ole="" fillcolor="window">
            <v:imagedata r:id="rId17" o:title=""/>
          </v:shape>
          <o:OLEObject Type="Embed" ProgID="Equation.3" ShapeID="_x0000_i1029" DrawAspect="Content" ObjectID="_1307979897" r:id="rId18"/>
        </w:object>
      </w:r>
    </w:p>
    <w:p w:rsidR="009951ED" w:rsidRDefault="009951ED" w:rsidP="0092133C">
      <w:pPr>
        <w:pStyle w:val="Sangradetextonormal"/>
        <w:spacing w:after="0"/>
        <w:ind w:left="708" w:firstLine="708"/>
        <w:rPr>
          <w:lang w:val="en-GB"/>
        </w:rPr>
      </w:pPr>
    </w:p>
    <w:p w:rsidR="009951ED" w:rsidRDefault="009951ED" w:rsidP="000355BB">
      <w:pPr>
        <w:pStyle w:val="Sangradetextonormal"/>
        <w:spacing w:after="0"/>
        <w:ind w:left="0"/>
        <w:rPr>
          <w:lang w:val="en-GB"/>
        </w:rPr>
      </w:pPr>
    </w:p>
    <w:p w:rsidR="009951ED" w:rsidRDefault="009951ED" w:rsidP="000355BB">
      <w:pPr>
        <w:pStyle w:val="Sangradetextonormal"/>
        <w:spacing w:after="0"/>
        <w:ind w:left="0"/>
        <w:rPr>
          <w:lang w:val="en-GB"/>
        </w:rPr>
      </w:pPr>
    </w:p>
    <w:p w:rsidR="009142D8" w:rsidRDefault="00D663AC" w:rsidP="000355BB">
      <w:pPr>
        <w:pStyle w:val="Sangradetextonormal"/>
        <w:spacing w:after="0"/>
        <w:ind w:left="0"/>
        <w:rPr>
          <w:lang w:val="en-US"/>
        </w:rPr>
      </w:pPr>
      <w:r>
        <w:rPr>
          <w:lang w:val="en-GB"/>
        </w:rPr>
        <w:t>-</w:t>
      </w:r>
      <w:r>
        <w:rPr>
          <w:lang w:val="en-US"/>
        </w:rPr>
        <w:t>A</w:t>
      </w:r>
      <w:r w:rsidR="000355BB" w:rsidRPr="000355BB">
        <w:rPr>
          <w:lang w:val="en-US"/>
        </w:rPr>
        <w:t xml:space="preserve"> firm will be compliant</w:t>
      </w:r>
      <w:r>
        <w:rPr>
          <w:lang w:val="en-US"/>
        </w:rPr>
        <w:t>,</w:t>
      </w:r>
      <w:r w:rsidR="000355BB" w:rsidRPr="000355BB">
        <w:rPr>
          <w:lang w:val="en-US"/>
        </w:rPr>
        <w:t xml:space="preserve"> </w:t>
      </w:r>
      <w:r>
        <w:rPr>
          <w:lang w:val="en-US"/>
        </w:rPr>
        <w:t xml:space="preserve">in expected terms, </w:t>
      </w:r>
      <w:r w:rsidR="000355BB" w:rsidRPr="000355BB">
        <w:rPr>
          <w:lang w:val="en-US"/>
        </w:rPr>
        <w:t xml:space="preserve">whenever it chooses a level of emissions consistent with </w:t>
      </w:r>
      <w:r w:rsidRPr="00D663AC">
        <w:rPr>
          <w:i/>
          <w:lang w:val="en-US"/>
        </w:rPr>
        <w:t>E</w:t>
      </w:r>
      <w:r>
        <w:rPr>
          <w:lang w:val="en-US"/>
        </w:rPr>
        <w:t>(</w:t>
      </w:r>
      <w:r w:rsidR="000355BB" w:rsidRPr="000355BB">
        <w:rPr>
          <w:lang w:val="en-US"/>
        </w:rPr>
        <w:t>–</w:t>
      </w:r>
      <w:r w:rsidR="000355BB" w:rsidRPr="000355BB">
        <w:rPr>
          <w:i/>
          <w:lang w:val="en-US"/>
        </w:rPr>
        <w:t>c</w:t>
      </w:r>
      <w:r w:rsidR="000355BB" w:rsidRPr="000355BB">
        <w:rPr>
          <w:i/>
          <w:iCs/>
          <w:vertAlign w:val="subscript"/>
          <w:lang w:val="en-US"/>
        </w:rPr>
        <w:t>e</w:t>
      </w:r>
      <w:r>
        <w:rPr>
          <w:i/>
          <w:iCs/>
          <w:vertAlign w:val="subscript"/>
          <w:lang w:val="en-US"/>
        </w:rPr>
        <w:t>i</w:t>
      </w:r>
      <w:r w:rsidR="000355BB" w:rsidRPr="000355BB">
        <w:rPr>
          <w:lang w:val="en-US"/>
        </w:rPr>
        <w:t>(</w:t>
      </w:r>
      <w:r w:rsidR="000355BB" w:rsidRPr="000355BB">
        <w:rPr>
          <w:i/>
          <w:lang w:val="en-US"/>
        </w:rPr>
        <w:t>s</w:t>
      </w:r>
      <w:r>
        <w:rPr>
          <w:i/>
          <w:vertAlign w:val="subscript"/>
          <w:lang w:val="en-US"/>
        </w:rPr>
        <w:t>i</w:t>
      </w:r>
      <w:r w:rsidR="000355BB" w:rsidRPr="000355BB">
        <w:rPr>
          <w:iCs/>
          <w:lang w:val="en-US"/>
        </w:rPr>
        <w:t>,</w:t>
      </w:r>
      <w:r w:rsidR="000355BB" w:rsidRPr="000355BB">
        <w:rPr>
          <w:i/>
        </w:rPr>
        <w:sym w:font="Symbol" w:char="F071"/>
      </w:r>
      <w:r w:rsidRPr="00D663AC">
        <w:rPr>
          <w:i/>
          <w:vertAlign w:val="subscript"/>
          <w:lang w:val="en-US"/>
        </w:rPr>
        <w:t>i</w:t>
      </w:r>
      <w:r w:rsidR="000355BB" w:rsidRPr="000355BB">
        <w:rPr>
          <w:lang w:val="en-US"/>
        </w:rPr>
        <w:t>)</w:t>
      </w:r>
      <w:r>
        <w:rPr>
          <w:lang w:val="en-US"/>
        </w:rPr>
        <w:t>) =</w:t>
      </w:r>
      <w:r w:rsidR="000355BB" w:rsidRPr="000355BB">
        <w:rPr>
          <w:lang w:val="en-US"/>
        </w:rPr>
        <w:t xml:space="preserve"> </w:t>
      </w:r>
      <w:r w:rsidR="000355BB" w:rsidRPr="000355BB">
        <w:sym w:font="Symbol" w:char="F0A3"/>
      </w:r>
      <w:r w:rsidR="000355BB" w:rsidRPr="000355BB">
        <w:rPr>
          <w:lang w:val="en-US"/>
        </w:rPr>
        <w:t xml:space="preserve"> </w:t>
      </w:r>
      <w:r w:rsidR="000355BB" w:rsidRPr="000355BB">
        <w:rPr>
          <w:i/>
        </w:rPr>
        <w:sym w:font="Symbol" w:char="F070"/>
      </w:r>
      <w:r w:rsidR="000355BB" w:rsidRPr="000355BB">
        <w:rPr>
          <w:i/>
          <w:lang w:val="en-US"/>
        </w:rPr>
        <w:t xml:space="preserve">f </w:t>
      </w:r>
      <w:r w:rsidR="000355BB" w:rsidRPr="000355BB">
        <w:sym w:font="Symbol" w:char="F0A2"/>
      </w:r>
      <w:r w:rsidR="000355BB" w:rsidRPr="000355BB">
        <w:rPr>
          <w:lang w:val="en-US"/>
        </w:rPr>
        <w:t>(0)</w:t>
      </w:r>
      <w:r w:rsidR="000355BB" w:rsidRPr="000355BB">
        <w:rPr>
          <w:color w:val="0070C0"/>
          <w:lang w:val="en-US"/>
        </w:rPr>
        <w:t xml:space="preserve">, </w:t>
      </w:r>
      <w:r w:rsidR="009142D8">
        <w:rPr>
          <w:lang w:val="en-US"/>
        </w:rPr>
        <w:t xml:space="preserve">(Malik (1992), </w:t>
      </w:r>
      <w:r w:rsidR="000355BB" w:rsidRPr="000355BB">
        <w:rPr>
          <w:lang w:val="en-US"/>
        </w:rPr>
        <w:t>Heyes (2000)</w:t>
      </w:r>
      <w:r w:rsidR="003923E9">
        <w:rPr>
          <w:lang w:val="en-US"/>
        </w:rPr>
        <w:t xml:space="preserve"> derive this conditions without explicitly consideration of incomplete information</w:t>
      </w:r>
      <w:r w:rsidR="009142D8">
        <w:rPr>
          <w:lang w:val="en-US"/>
        </w:rPr>
        <w:t xml:space="preserve">). </w:t>
      </w:r>
    </w:p>
    <w:p w:rsidR="009142D8" w:rsidRDefault="009142D8" w:rsidP="000355BB">
      <w:pPr>
        <w:pStyle w:val="Sangradetextonormal"/>
        <w:spacing w:after="0"/>
        <w:ind w:left="0"/>
        <w:rPr>
          <w:lang w:val="en-US"/>
        </w:rPr>
      </w:pPr>
    </w:p>
    <w:p w:rsidR="009142D8" w:rsidRDefault="009142D8" w:rsidP="000355BB">
      <w:pPr>
        <w:pStyle w:val="Sangradetextonormal"/>
        <w:spacing w:after="0"/>
        <w:ind w:left="0"/>
        <w:rPr>
          <w:lang w:val="en-US"/>
        </w:rPr>
      </w:pPr>
      <w:r>
        <w:rPr>
          <w:lang w:val="en-US"/>
        </w:rPr>
        <w:t>-F</w:t>
      </w:r>
      <w:r w:rsidR="000355BB" w:rsidRPr="000355BB">
        <w:rPr>
          <w:lang w:val="en-US"/>
        </w:rPr>
        <w:t xml:space="preserve">irm’s compliance choice requires the expected marginal penalty to be no lower than the marginal abatement cost associated with an emissions level equivalent to the emissions standard. </w:t>
      </w:r>
    </w:p>
    <w:p w:rsidR="009142D8" w:rsidRDefault="009142D8" w:rsidP="000355BB">
      <w:pPr>
        <w:pStyle w:val="Sangradetextonormal"/>
        <w:spacing w:after="0"/>
        <w:ind w:left="0"/>
        <w:rPr>
          <w:lang w:val="en-US"/>
        </w:rPr>
      </w:pPr>
    </w:p>
    <w:p w:rsidR="000355BB" w:rsidRPr="000355BB" w:rsidRDefault="009142D8" w:rsidP="000355BB">
      <w:pPr>
        <w:pStyle w:val="Sangradetextonormal"/>
        <w:spacing w:after="0"/>
        <w:ind w:left="0"/>
        <w:rPr>
          <w:lang w:val="en-US"/>
        </w:rPr>
      </w:pPr>
      <w:r>
        <w:rPr>
          <w:lang w:val="en-US"/>
        </w:rPr>
        <w:t>-Please, note that t</w:t>
      </w:r>
      <w:r w:rsidR="000355BB" w:rsidRPr="000355BB">
        <w:rPr>
          <w:lang w:val="en-US"/>
        </w:rPr>
        <w:t>he marginal abatement costs at the level of the standard can vary among firms, not only because they face a different standard, but also because of the firm’s specific, possibly imperfectly observable characteristics for a regulatory authority.</w:t>
      </w:r>
    </w:p>
    <w:p w:rsidR="000355BB" w:rsidRDefault="000355BB">
      <w:pPr>
        <w:rPr>
          <w:b/>
          <w:iCs/>
          <w:lang w:val="en-US"/>
        </w:rPr>
      </w:pPr>
    </w:p>
    <w:p w:rsidR="00A573FB" w:rsidRPr="00A573FB" w:rsidRDefault="00A573FB" w:rsidP="00A573FB">
      <w:pPr>
        <w:rPr>
          <w:lang w:val="en-GB"/>
        </w:rPr>
      </w:pPr>
      <w:r w:rsidRPr="00A573FB">
        <w:rPr>
          <w:lang w:val="en-GB"/>
        </w:rPr>
        <w:tab/>
      </w:r>
      <w:r w:rsidRPr="00A573FB">
        <w:rPr>
          <w:lang w:val="en-GB"/>
        </w:rPr>
        <w:tab/>
      </w:r>
      <w:r w:rsidRPr="00A573FB">
        <w:rPr>
          <w:lang w:val="en-GB"/>
        </w:rPr>
        <w:tab/>
      </w:r>
      <w:r>
        <w:rPr>
          <w:lang w:val="en-GB"/>
        </w:rPr>
        <w:tab/>
      </w:r>
    </w:p>
    <w:p w:rsidR="00A573FB" w:rsidRPr="000355BB" w:rsidRDefault="00A573FB">
      <w:pPr>
        <w:rPr>
          <w:b/>
          <w:iCs/>
          <w:lang w:val="en-US"/>
        </w:rPr>
      </w:pPr>
    </w:p>
    <w:p w:rsidR="000355BB" w:rsidRPr="005B4676" w:rsidRDefault="000355BB">
      <w:pPr>
        <w:rPr>
          <w:b/>
          <w:iCs/>
          <w:lang w:val="en-GB"/>
        </w:rPr>
      </w:pPr>
    </w:p>
    <w:p w:rsidR="005F40A6" w:rsidRPr="005B4676" w:rsidRDefault="005F40A6">
      <w:pPr>
        <w:rPr>
          <w:b/>
          <w:iCs/>
          <w:lang w:val="en-GB"/>
        </w:rPr>
      </w:pPr>
    </w:p>
    <w:p w:rsidR="005F40A6" w:rsidRPr="005B4676" w:rsidRDefault="005F40A6" w:rsidP="005F40A6">
      <w:pPr>
        <w:rPr>
          <w:b/>
          <w:lang w:val="en-GB"/>
        </w:rPr>
      </w:pPr>
      <w:r w:rsidRPr="005B4676">
        <w:rPr>
          <w:b/>
          <w:lang w:val="en-GB"/>
        </w:rPr>
        <w:t>3.  Enforcement Strategies, Enforcement Costs, and the Optimal Level of Compliance</w:t>
      </w:r>
    </w:p>
    <w:p w:rsidR="00E83C95" w:rsidRDefault="00E83C95" w:rsidP="00E83C95">
      <w:pPr>
        <w:pStyle w:val="Textoindependiente"/>
        <w:tabs>
          <w:tab w:val="left" w:pos="720"/>
        </w:tabs>
        <w:spacing w:after="0"/>
        <w:rPr>
          <w:b/>
          <w:iCs/>
          <w:lang w:val="en-US"/>
        </w:rPr>
      </w:pPr>
    </w:p>
    <w:p w:rsidR="00E83C95" w:rsidRPr="00A573FB" w:rsidRDefault="00E83C95" w:rsidP="00E83C95">
      <w:pPr>
        <w:pStyle w:val="Textoindependiente"/>
        <w:tabs>
          <w:tab w:val="left" w:pos="720"/>
        </w:tabs>
        <w:spacing w:after="0"/>
        <w:rPr>
          <w:lang w:val="en-GB"/>
        </w:rPr>
      </w:pPr>
      <w:r w:rsidRPr="00A573FB">
        <w:rPr>
          <w:b/>
          <w:iCs/>
          <w:lang w:val="en-US"/>
        </w:rPr>
        <w:t>-</w:t>
      </w:r>
      <w:r w:rsidRPr="00A573FB">
        <w:rPr>
          <w:lang w:val="en-GB"/>
        </w:rPr>
        <w:t xml:space="preserve"> If the regulator wants to ensure </w:t>
      </w:r>
      <w:r>
        <w:rPr>
          <w:lang w:val="en-GB"/>
        </w:rPr>
        <w:t xml:space="preserve">expected </w:t>
      </w:r>
      <w:r w:rsidRPr="00A573FB">
        <w:rPr>
          <w:lang w:val="en-GB"/>
        </w:rPr>
        <w:t xml:space="preserve">perfect compliance </w:t>
      </w:r>
      <w:r>
        <w:rPr>
          <w:lang w:val="en-GB"/>
        </w:rPr>
        <w:t>the following restriction must hold</w:t>
      </w:r>
    </w:p>
    <w:p w:rsidR="00E83C95" w:rsidRPr="00A573FB" w:rsidRDefault="00E83C95" w:rsidP="00E83C95">
      <w:pPr>
        <w:pStyle w:val="Textoindependiente"/>
        <w:tabs>
          <w:tab w:val="left" w:pos="720"/>
        </w:tabs>
        <w:spacing w:after="0"/>
        <w:rPr>
          <w:lang w:val="en-GB"/>
        </w:rPr>
      </w:pPr>
    </w:p>
    <w:p w:rsidR="00E83C95" w:rsidRPr="00A573FB" w:rsidRDefault="00E83C95" w:rsidP="00E83C95">
      <w:pPr>
        <w:pStyle w:val="Textoindependiente"/>
        <w:tabs>
          <w:tab w:val="left" w:pos="720"/>
        </w:tabs>
        <w:spacing w:after="0"/>
        <w:rPr>
          <w:lang w:val="en-GB"/>
        </w:rPr>
      </w:pPr>
      <w:r w:rsidRPr="00A573FB">
        <w:rPr>
          <w:lang w:val="en-GB"/>
        </w:rPr>
        <w:tab/>
      </w:r>
      <w:r w:rsidRPr="00A573FB">
        <w:rPr>
          <w:lang w:val="en-GB"/>
        </w:rPr>
        <w:tab/>
      </w:r>
      <w:r w:rsidRPr="00A573FB">
        <w:rPr>
          <w:lang w:val="en-GB"/>
        </w:rPr>
        <w:tab/>
      </w:r>
      <w:r w:rsidR="00814981" w:rsidRPr="00A573FB">
        <w:rPr>
          <w:position w:val="-12"/>
          <w:lang w:val="en-GB"/>
        </w:rPr>
        <w:object w:dxaOrig="2380" w:dyaOrig="380">
          <v:shape id="_x0000_i1030" type="#_x0000_t75" style="width:119.25pt;height:18.75pt" o:ole="" fillcolor="window">
            <v:imagedata r:id="rId19" o:title=""/>
          </v:shape>
          <o:OLEObject Type="Embed" ProgID="Equation.3" ShapeID="_x0000_i1030" DrawAspect="Content" ObjectID="_1307979898" r:id="rId20"/>
        </w:object>
      </w:r>
      <w:r w:rsidRPr="00A573FB">
        <w:rPr>
          <w:lang w:val="en-GB"/>
        </w:rPr>
        <w:tab/>
      </w:r>
      <w:r w:rsidRPr="00A573FB">
        <w:rPr>
          <w:lang w:val="en-GB"/>
        </w:rPr>
        <w:tab/>
      </w:r>
      <w:r w:rsidRPr="00A573FB">
        <w:rPr>
          <w:position w:val="-12"/>
          <w:sz w:val="20"/>
          <w:szCs w:val="20"/>
          <w:lang w:val="en-GB"/>
        </w:rPr>
        <w:object w:dxaOrig="999" w:dyaOrig="360">
          <v:shape id="_x0000_i1031" type="#_x0000_t75" style="width:50.25pt;height:18pt" o:ole="" fillcolor="window">
            <v:imagedata r:id="rId21" o:title=""/>
          </v:shape>
          <o:OLEObject Type="Embed" ProgID="Equation.3" ShapeID="_x0000_i1031" DrawAspect="Content" ObjectID="_1307979899" r:id="rId22"/>
        </w:object>
      </w:r>
      <w:r w:rsidRPr="002176A0">
        <w:rPr>
          <w:sz w:val="20"/>
          <w:szCs w:val="20"/>
          <w:lang w:val="en-GB"/>
        </w:rPr>
        <w:tab/>
      </w:r>
      <w:r w:rsidRPr="00A573FB">
        <w:rPr>
          <w:lang w:val="en-GB"/>
        </w:rPr>
        <w:tab/>
      </w:r>
      <w:r w:rsidRPr="00A573FB">
        <w:rPr>
          <w:lang w:val="en-GB"/>
        </w:rPr>
        <w:tab/>
      </w:r>
      <w:r w:rsidRPr="00A573FB">
        <w:rPr>
          <w:lang w:val="en-GB"/>
        </w:rPr>
        <w:tab/>
      </w:r>
    </w:p>
    <w:p w:rsidR="00E83C95" w:rsidRDefault="00E83C95" w:rsidP="00E83C95">
      <w:pPr>
        <w:rPr>
          <w:b/>
          <w:iCs/>
          <w:lang w:val="en-US"/>
        </w:rPr>
      </w:pPr>
    </w:p>
    <w:p w:rsidR="00E83C95" w:rsidRPr="00A573FB" w:rsidRDefault="00E83C95" w:rsidP="00E83C95">
      <w:pPr>
        <w:pStyle w:val="Sangra2detindependiente"/>
        <w:spacing w:line="240" w:lineRule="auto"/>
        <w:ind w:left="0"/>
        <w:rPr>
          <w:lang w:val="en-GB"/>
        </w:rPr>
      </w:pPr>
      <w:r w:rsidRPr="00A573FB">
        <w:rPr>
          <w:b/>
          <w:iCs/>
          <w:lang w:val="en-US"/>
        </w:rPr>
        <w:t>-</w:t>
      </w:r>
      <w:r w:rsidRPr="00A573FB">
        <w:rPr>
          <w:lang w:val="en-GB"/>
        </w:rPr>
        <w:t xml:space="preserve"> </w:t>
      </w:r>
      <w:r>
        <w:rPr>
          <w:lang w:val="en-GB"/>
        </w:rPr>
        <w:t xml:space="preserve">The analysis </w:t>
      </w:r>
      <w:r w:rsidRPr="00A573FB">
        <w:rPr>
          <w:lang w:val="en-GB"/>
        </w:rPr>
        <w:t>about individual compliance behaviour suggests that cost-effective enforcement of emissions standards should involve targeted monitoring. Specifically, minimum required monitori</w:t>
      </w:r>
      <w:r>
        <w:rPr>
          <w:lang w:val="en-GB"/>
        </w:rPr>
        <w:t xml:space="preserve">ng to induce compliance by </w:t>
      </w:r>
      <w:r w:rsidRPr="00A573FB">
        <w:rPr>
          <w:lang w:val="en-GB"/>
        </w:rPr>
        <w:t xml:space="preserve">firm </w:t>
      </w:r>
      <w:r>
        <w:rPr>
          <w:i/>
          <w:lang w:val="en-GB"/>
        </w:rPr>
        <w:t xml:space="preserve">i </w:t>
      </w:r>
      <w:r w:rsidRPr="00A573FB">
        <w:rPr>
          <w:lang w:val="en-GB"/>
        </w:rPr>
        <w:t>is given by:</w:t>
      </w:r>
    </w:p>
    <w:p w:rsidR="00E83C95" w:rsidRPr="00A573FB" w:rsidRDefault="00E83C95" w:rsidP="00E83C95">
      <w:pPr>
        <w:rPr>
          <w:lang w:val="en-GB"/>
        </w:rPr>
      </w:pPr>
    </w:p>
    <w:p w:rsidR="005F40A6" w:rsidRPr="005B4676" w:rsidRDefault="00E83C95" w:rsidP="00E83C95">
      <w:pPr>
        <w:rPr>
          <w:b/>
          <w:lang w:val="en-GB"/>
        </w:rPr>
      </w:pPr>
      <w:r w:rsidRPr="00A573FB">
        <w:rPr>
          <w:lang w:val="en-GB"/>
        </w:rPr>
        <w:tab/>
      </w:r>
      <w:r w:rsidRPr="00A573FB">
        <w:rPr>
          <w:lang w:val="en-GB"/>
        </w:rPr>
        <w:tab/>
      </w:r>
      <w:r w:rsidRPr="00A573FB">
        <w:rPr>
          <w:lang w:val="en-GB"/>
        </w:rPr>
        <w:tab/>
      </w:r>
      <w:r w:rsidR="00D82128" w:rsidRPr="00A573FB">
        <w:rPr>
          <w:position w:val="-28"/>
          <w:lang w:val="en-GB"/>
        </w:rPr>
        <w:object w:dxaOrig="2620" w:dyaOrig="680">
          <v:shape id="_x0000_i1032" type="#_x0000_t75" style="width:131.25pt;height:33.75pt" o:ole="">
            <v:imagedata r:id="rId23" o:title=""/>
          </v:shape>
          <o:OLEObject Type="Embed" ProgID="Equation.3" ShapeID="_x0000_i1032" DrawAspect="Content" ObjectID="_1307979900" r:id="rId24"/>
        </w:object>
      </w:r>
      <w:r w:rsidRPr="00A573FB">
        <w:rPr>
          <w:lang w:val="en-GB"/>
        </w:rPr>
        <w:tab/>
      </w:r>
      <w:r w:rsidRPr="00A573FB">
        <w:rPr>
          <w:lang w:val="en-GB"/>
        </w:rPr>
        <w:tab/>
      </w:r>
    </w:p>
    <w:p w:rsidR="005F40A6" w:rsidRPr="005B4676" w:rsidRDefault="005F40A6" w:rsidP="005F40A6">
      <w:pPr>
        <w:rPr>
          <w:b/>
          <w:lang w:val="en-GB"/>
        </w:rPr>
      </w:pPr>
    </w:p>
    <w:p w:rsidR="00E83C95" w:rsidRPr="00E83C95" w:rsidRDefault="00E83C95" w:rsidP="00E83C95">
      <w:pPr>
        <w:rPr>
          <w:i/>
          <w:lang w:val="en-GB"/>
        </w:rPr>
      </w:pPr>
      <w:r w:rsidRPr="00E83C95">
        <w:rPr>
          <w:lang w:val="en-GB"/>
        </w:rPr>
        <w:t>-</w:t>
      </w:r>
      <w:r>
        <w:rPr>
          <w:lang w:val="en-GB"/>
        </w:rPr>
        <w:t>Monitoring</w:t>
      </w:r>
      <w:r w:rsidRPr="00E83C95">
        <w:rPr>
          <w:lang w:val="en-GB"/>
        </w:rPr>
        <w:t xml:space="preserve"> Costs, Sanctioning Costs, and Program Costs</w:t>
      </w:r>
      <w:r w:rsidRPr="00E83C95">
        <w:rPr>
          <w:i/>
          <w:lang w:val="en-GB"/>
        </w:rPr>
        <w:t xml:space="preserve">.  </w:t>
      </w:r>
      <w:r w:rsidRPr="00E83C95">
        <w:rPr>
          <w:lang w:val="en-GB"/>
        </w:rPr>
        <w:t>Aggregate pr</w:t>
      </w:r>
      <w:r>
        <w:rPr>
          <w:lang w:val="en-GB"/>
        </w:rPr>
        <w:t xml:space="preserve">ogram costs </w:t>
      </w:r>
      <w:r w:rsidRPr="00E83C95">
        <w:rPr>
          <w:lang w:val="en-GB"/>
        </w:rPr>
        <w:t>(</w:t>
      </w:r>
      <w:r>
        <w:rPr>
          <w:i/>
          <w:iCs/>
          <w:lang w:val="en-GB"/>
        </w:rPr>
        <w:t>P</w:t>
      </w:r>
      <w:r w:rsidRPr="00E83C95">
        <w:rPr>
          <w:i/>
          <w:iCs/>
          <w:lang w:val="en-GB"/>
        </w:rPr>
        <w:t>C</w:t>
      </w:r>
      <w:r w:rsidRPr="00E83C95">
        <w:rPr>
          <w:lang w:val="en-GB"/>
        </w:rPr>
        <w:t>) includes aggregate abatement costs (</w:t>
      </w:r>
      <w:r w:rsidRPr="00E83C95">
        <w:rPr>
          <w:i/>
          <w:iCs/>
          <w:lang w:val="en-GB"/>
        </w:rPr>
        <w:t>A</w:t>
      </w:r>
      <w:r>
        <w:rPr>
          <w:lang w:val="en-GB"/>
        </w:rPr>
        <w:t xml:space="preserve">), monitoring </w:t>
      </w:r>
      <w:r w:rsidRPr="00E83C95">
        <w:rPr>
          <w:lang w:val="en-GB"/>
        </w:rPr>
        <w:t>costs (</w:t>
      </w:r>
      <w:r w:rsidRPr="00E83C95">
        <w:rPr>
          <w:i/>
          <w:iCs/>
          <w:lang w:val="en-GB"/>
        </w:rPr>
        <w:t>M</w:t>
      </w:r>
      <w:r w:rsidRPr="00E83C95">
        <w:rPr>
          <w:lang w:val="en-GB"/>
        </w:rPr>
        <w:t>)</w:t>
      </w:r>
      <w:r>
        <w:rPr>
          <w:lang w:val="en-GB"/>
        </w:rPr>
        <w:t>, and sanctioning costs (</w:t>
      </w:r>
      <w:r>
        <w:rPr>
          <w:i/>
          <w:lang w:val="en-GB"/>
        </w:rPr>
        <w:t>S</w:t>
      </w:r>
      <w:r>
        <w:rPr>
          <w:lang w:val="en-GB"/>
        </w:rPr>
        <w:t>)</w:t>
      </w:r>
      <w:r w:rsidRPr="00E83C95">
        <w:rPr>
          <w:lang w:val="en-GB"/>
        </w:rPr>
        <w:t xml:space="preserve">. </w:t>
      </w:r>
      <w:r>
        <w:rPr>
          <w:lang w:val="en-GB"/>
        </w:rPr>
        <w:t>Monitoring</w:t>
      </w:r>
      <w:r w:rsidRPr="00E83C95">
        <w:rPr>
          <w:lang w:val="en-GB"/>
        </w:rPr>
        <w:t xml:space="preserve"> co</w:t>
      </w:r>
      <w:r>
        <w:rPr>
          <w:lang w:val="en-GB"/>
        </w:rPr>
        <w:t xml:space="preserve">sts depend upon the </w:t>
      </w:r>
      <w:r w:rsidRPr="00E83C95">
        <w:rPr>
          <w:lang w:val="en-GB"/>
        </w:rPr>
        <w:t xml:space="preserve">effort (audit probability for each firm) and the cost of conducting an audit, which we denote by </w:t>
      </w:r>
      <w:r>
        <w:rPr>
          <w:i/>
          <w:iCs/>
          <w:lang w:val="en-GB"/>
        </w:rPr>
        <w:sym w:font="Symbol" w:char="F06D"/>
      </w:r>
      <w:r>
        <w:rPr>
          <w:i/>
          <w:iCs/>
          <w:vertAlign w:val="subscript"/>
          <w:lang w:val="en-GB"/>
        </w:rPr>
        <w:t>i</w:t>
      </w:r>
      <w:r w:rsidRPr="00E83C95">
        <w:rPr>
          <w:iCs/>
          <w:lang w:val="en-GB"/>
        </w:rPr>
        <w:t>.</w:t>
      </w:r>
      <w:r w:rsidRPr="00E83C95">
        <w:rPr>
          <w:rStyle w:val="Refdenotaalpie"/>
          <w:lang w:val="en-GB"/>
        </w:rPr>
        <w:t xml:space="preserve"> </w:t>
      </w:r>
      <w:r w:rsidRPr="00E83C95">
        <w:rPr>
          <w:iCs/>
          <w:lang w:val="en-GB"/>
        </w:rPr>
        <w:t xml:space="preserve">  </w:t>
      </w:r>
      <w:r>
        <w:rPr>
          <w:lang w:val="en-GB"/>
        </w:rPr>
        <w:t xml:space="preserve">We shall notice that: (i) monitoring costs can vary across firms for several reason (firm location, number of </w:t>
      </w:r>
      <w:r>
        <w:rPr>
          <w:lang w:val="en-GB"/>
        </w:rPr>
        <w:lastRenderedPageBreak/>
        <w:t xml:space="preserve">discharges points, etc.) </w:t>
      </w:r>
      <w:r w:rsidRPr="00E83C95">
        <w:rPr>
          <w:highlight w:val="yellow"/>
          <w:lang w:val="en-GB"/>
        </w:rPr>
        <w:t>(CITE Stranlund, et al (2009)??-JEEM, Heyes??)</w:t>
      </w:r>
      <w:r>
        <w:rPr>
          <w:lang w:val="en-GB"/>
        </w:rPr>
        <w:t xml:space="preserve"> , (ii)</w:t>
      </w:r>
      <w:r w:rsidRPr="00E83C95">
        <w:rPr>
          <w:lang w:val="en-GB"/>
        </w:rPr>
        <w:t xml:space="preserve"> the </w:t>
      </w:r>
      <w:r>
        <w:rPr>
          <w:lang w:val="en-GB"/>
        </w:rPr>
        <w:t>level of the expected monitoring</w:t>
      </w:r>
      <w:r w:rsidRPr="00E83C95">
        <w:rPr>
          <w:lang w:val="en-GB"/>
        </w:rPr>
        <w:t xml:space="preserve"> costs depends on the enforcers’ available information</w:t>
      </w:r>
      <w:r>
        <w:rPr>
          <w:lang w:val="en-GB"/>
        </w:rPr>
        <w:t xml:space="preserve"> (Chávez et al (2009)</w:t>
      </w:r>
      <w:r w:rsidRPr="00E83C95">
        <w:rPr>
          <w:lang w:val="en-GB"/>
        </w:rPr>
        <w:t>.</w:t>
      </w:r>
    </w:p>
    <w:p w:rsidR="005F40A6" w:rsidRDefault="005F40A6" w:rsidP="005F40A6">
      <w:pPr>
        <w:rPr>
          <w:b/>
          <w:lang w:val="en-GB"/>
        </w:rPr>
      </w:pPr>
    </w:p>
    <w:p w:rsidR="00E83C95" w:rsidRPr="00E83C95" w:rsidRDefault="00E83C95" w:rsidP="00E83C95">
      <w:pPr>
        <w:rPr>
          <w:lang w:val="en-US"/>
        </w:rPr>
      </w:pPr>
      <w:r>
        <w:rPr>
          <w:lang w:val="en-US"/>
        </w:rPr>
        <w:t>-</w:t>
      </w:r>
      <w:r w:rsidR="007C2796">
        <w:rPr>
          <w:lang w:val="en-US"/>
        </w:rPr>
        <w:t xml:space="preserve">Sanctioning costs may include </w:t>
      </w:r>
      <w:r w:rsidRPr="00E83C95">
        <w:rPr>
          <w:lang w:val="en-US"/>
        </w:rPr>
        <w:t>costly warning activities, costly litigation</w:t>
      </w:r>
      <w:r w:rsidR="007C2796">
        <w:rPr>
          <w:lang w:val="en-US"/>
        </w:rPr>
        <w:t xml:space="preserve"> because of firms’ challenging the regulator</w:t>
      </w:r>
      <w:r w:rsidRPr="00E83C95">
        <w:rPr>
          <w:lang w:val="en-US"/>
        </w:rPr>
        <w:t>, and even costly imposition of sanctions once a violation is detected</w:t>
      </w:r>
      <w:r w:rsidR="007C2796">
        <w:rPr>
          <w:lang w:val="en-US"/>
        </w:rPr>
        <w:t xml:space="preserve"> and perhaps </w:t>
      </w:r>
      <w:r w:rsidR="009A28F1">
        <w:rPr>
          <w:lang w:val="en-US"/>
        </w:rPr>
        <w:t>going trough a court procedure (</w:t>
      </w:r>
      <w:r w:rsidR="009A28F1" w:rsidRPr="009A28F1">
        <w:rPr>
          <w:highlight w:val="yellow"/>
          <w:lang w:val="en-US"/>
        </w:rPr>
        <w:t>CITE LITERATURE ON THIS??, Peter Just??, Kahmbur??)</w:t>
      </w:r>
      <w:r w:rsidRPr="00E83C95">
        <w:rPr>
          <w:lang w:val="en-US"/>
        </w:rPr>
        <w:t xml:space="preserve">.  </w:t>
      </w:r>
      <w:r w:rsidR="009A28F1">
        <w:rPr>
          <w:lang w:val="en-US"/>
        </w:rPr>
        <w:t>To our knowledge, i</w:t>
      </w:r>
      <w:r w:rsidRPr="00E83C95">
        <w:rPr>
          <w:lang w:val="en-US"/>
        </w:rPr>
        <w:t>n the enforcement of environmental regulation literature, only Stranlund (2007) has considered costly collection of sanctions in the context of a transferable emissions</w:t>
      </w:r>
      <w:r w:rsidR="009A28F1">
        <w:rPr>
          <w:lang w:val="en-US"/>
        </w:rPr>
        <w:t xml:space="preserve"> permit system; </w:t>
      </w:r>
      <w:r w:rsidRPr="00E83C95">
        <w:rPr>
          <w:lang w:val="en-US"/>
        </w:rPr>
        <w:t xml:space="preserve">Stranlund et al. (2009) assume that imposing sanctions in the context of emissions taxes is costly.  </w:t>
      </w:r>
      <w:r w:rsidR="009A28F1">
        <w:rPr>
          <w:lang w:val="en-US"/>
        </w:rPr>
        <w:t>Furthermore, s</w:t>
      </w:r>
      <w:r w:rsidRPr="00E83C95">
        <w:rPr>
          <w:lang w:val="en-US"/>
        </w:rPr>
        <w:t>anctioning costs have been considered in the context of the enforcement of emi</w:t>
      </w:r>
      <w:r w:rsidR="009A28F1">
        <w:rPr>
          <w:lang w:val="en-US"/>
        </w:rPr>
        <w:t>ssion standards in</w:t>
      </w:r>
      <w:r w:rsidRPr="00E83C95">
        <w:rPr>
          <w:lang w:val="en-US"/>
        </w:rPr>
        <w:t xml:space="preserve"> Malik (1993) and more recently Arguedas (2008)</w:t>
      </w:r>
      <w:r w:rsidR="009A28F1">
        <w:rPr>
          <w:lang w:val="en-US"/>
        </w:rPr>
        <w:t xml:space="preserve">  </w:t>
      </w:r>
      <w:r w:rsidR="009A28F1" w:rsidRPr="009A28F1">
        <w:rPr>
          <w:highlight w:val="yellow"/>
          <w:lang w:val="en-US"/>
        </w:rPr>
        <w:t>SOMETHING ELSE, WE NEED TO CHECK ON THIS</w:t>
      </w:r>
      <w:r w:rsidRPr="009A28F1">
        <w:rPr>
          <w:highlight w:val="yellow"/>
          <w:lang w:val="en-US"/>
        </w:rPr>
        <w:t>.</w:t>
      </w:r>
      <w:r w:rsidRPr="00E83C95">
        <w:rPr>
          <w:lang w:val="en-US"/>
        </w:rPr>
        <w:t xml:space="preserve">  </w:t>
      </w:r>
      <w:r w:rsidR="009A28F1">
        <w:rPr>
          <w:lang w:val="en-US"/>
        </w:rPr>
        <w:t xml:space="preserve">By following the existing related literature we model expected sanctioning costs from firm </w:t>
      </w:r>
      <w:r w:rsidR="009A28F1">
        <w:rPr>
          <w:i/>
          <w:lang w:val="en-US"/>
        </w:rPr>
        <w:t xml:space="preserve">i </w:t>
      </w:r>
      <w:r w:rsidR="009A28F1">
        <w:rPr>
          <w:lang w:val="en-US"/>
        </w:rPr>
        <w:t xml:space="preserve">as the result of the product of the monetary cost per unit of collected penalty, which we donote </w:t>
      </w:r>
      <w:r w:rsidR="009A28F1" w:rsidRPr="009A28F1">
        <w:rPr>
          <w:i/>
          <w:lang w:val="en-US"/>
        </w:rPr>
        <w:sym w:font="Symbol" w:char="F062"/>
      </w:r>
      <w:r w:rsidR="009A28F1" w:rsidRPr="009A28F1">
        <w:rPr>
          <w:i/>
          <w:vertAlign w:val="subscript"/>
          <w:lang w:val="en-US"/>
        </w:rPr>
        <w:t>i</w:t>
      </w:r>
      <w:r w:rsidR="009A28F1">
        <w:rPr>
          <w:lang w:val="en-US"/>
        </w:rPr>
        <w:t xml:space="preserve"> and the expected level of penalty from that firm.  The aggregate sanctioning cost is obtained by adding on the set of firms.  We notice that expected sanctioning costs can vary among firms not only because of differences in the expected penalty</w:t>
      </w:r>
      <w:r w:rsidR="009B09EE">
        <w:rPr>
          <w:lang w:val="en-US"/>
        </w:rPr>
        <w:t xml:space="preserve">, but also, because of variation in the monetary cost per unit of penalty.  For example, firms might differ in terms of how much effort they spent challenging the regulator, </w:t>
      </w:r>
      <w:r w:rsidR="009B09EE" w:rsidRPr="009B09EE">
        <w:rPr>
          <w:highlight w:val="yellow"/>
          <w:lang w:val="en-US"/>
        </w:rPr>
        <w:t>WE NEED TO COMPLETE HERE FROM THE NOTES WITH OUR DISCUSSIONS</w:t>
      </w:r>
    </w:p>
    <w:p w:rsidR="00E83C95" w:rsidRPr="00E83C95" w:rsidRDefault="00E83C95" w:rsidP="005F40A6">
      <w:pPr>
        <w:rPr>
          <w:b/>
          <w:lang w:val="en-US"/>
        </w:rPr>
      </w:pPr>
    </w:p>
    <w:p w:rsidR="00E83C95" w:rsidRDefault="009B09EE" w:rsidP="005F40A6">
      <w:pPr>
        <w:rPr>
          <w:lang w:val="en-GB"/>
        </w:rPr>
      </w:pPr>
      <w:r w:rsidRPr="009B09EE">
        <w:rPr>
          <w:highlight w:val="yellow"/>
          <w:lang w:val="en-GB"/>
        </w:rPr>
        <w:t>WE ALSO NEED TO DEFINE IF WE MODEL IN GENERAL WITH VARIATION BETWEN FIRMS IN AUDITING COSTS AND SANCTIONING COSTS</w:t>
      </w:r>
    </w:p>
    <w:p w:rsidR="009B09EE" w:rsidRDefault="009B09EE" w:rsidP="005F40A6">
      <w:pPr>
        <w:rPr>
          <w:lang w:val="en-GB"/>
        </w:rPr>
      </w:pPr>
    </w:p>
    <w:p w:rsidR="00EC703C" w:rsidRPr="00EC703C" w:rsidRDefault="00EC703C" w:rsidP="00EC703C">
      <w:pPr>
        <w:rPr>
          <w:lang w:val="en-GB"/>
        </w:rPr>
      </w:pPr>
      <w:r w:rsidRPr="00EC703C">
        <w:rPr>
          <w:lang w:val="en-GB"/>
        </w:rPr>
        <w:t>-We write an expressi</w:t>
      </w:r>
      <w:r>
        <w:rPr>
          <w:lang w:val="en-GB"/>
        </w:rPr>
        <w:t>on for total expected program</w:t>
      </w:r>
      <w:r w:rsidRPr="00EC703C">
        <w:rPr>
          <w:lang w:val="en-GB"/>
        </w:rPr>
        <w:t xml:space="preserve"> costs under an emissions standards system:</w:t>
      </w:r>
    </w:p>
    <w:p w:rsidR="00EC703C" w:rsidRDefault="00EC703C" w:rsidP="00EC703C">
      <w:pPr>
        <w:ind w:firstLine="708"/>
        <w:jc w:val="center"/>
        <w:rPr>
          <w:lang w:val="en-GB"/>
        </w:rPr>
      </w:pPr>
    </w:p>
    <w:p w:rsidR="00EC703C" w:rsidRDefault="00222F90" w:rsidP="00EC703C">
      <w:pPr>
        <w:ind w:left="2124" w:firstLine="708"/>
        <w:rPr>
          <w:lang w:val="en-GB"/>
        </w:rPr>
      </w:pPr>
      <w:r w:rsidRPr="00EC703C">
        <w:rPr>
          <w:position w:val="-10"/>
          <w:lang w:val="en-GB"/>
        </w:rPr>
        <w:object w:dxaOrig="2299" w:dyaOrig="340">
          <v:shape id="_x0000_i1033" type="#_x0000_t75" style="width:114.75pt;height:17.25pt" o:ole="">
            <v:imagedata r:id="rId25" o:title=""/>
          </v:shape>
          <o:OLEObject Type="Embed" ProgID="Equation.3" ShapeID="_x0000_i1033" DrawAspect="Content" ObjectID="_1307979901" r:id="rId26"/>
        </w:object>
      </w:r>
      <w:r w:rsidR="00EC703C">
        <w:rPr>
          <w:lang w:val="en-GB"/>
        </w:rPr>
        <w:t>,</w:t>
      </w:r>
    </w:p>
    <w:p w:rsidR="00EC703C" w:rsidRDefault="00EC703C" w:rsidP="00EC703C">
      <w:pPr>
        <w:ind w:left="2124" w:firstLine="708"/>
        <w:jc w:val="center"/>
        <w:rPr>
          <w:lang w:val="en-GB"/>
        </w:rPr>
      </w:pPr>
    </w:p>
    <w:p w:rsidR="00EC703C" w:rsidRDefault="00EC703C" w:rsidP="00EC703C">
      <w:pPr>
        <w:rPr>
          <w:lang w:val="en-GB"/>
        </w:rPr>
      </w:pPr>
    </w:p>
    <w:p w:rsidR="00EC703C" w:rsidRDefault="00EC703C" w:rsidP="00EC703C">
      <w:pPr>
        <w:rPr>
          <w:sz w:val="20"/>
          <w:szCs w:val="20"/>
          <w:lang w:val="en-GB"/>
        </w:rPr>
      </w:pPr>
      <w:r>
        <w:rPr>
          <w:lang w:val="en-GB"/>
        </w:rPr>
        <w:t xml:space="preserve">-Where </w:t>
      </w:r>
      <w:r w:rsidRPr="00EC703C">
        <w:rPr>
          <w:position w:val="-24"/>
          <w:sz w:val="20"/>
          <w:szCs w:val="20"/>
          <w:lang w:val="en-GB"/>
        </w:rPr>
        <w:object w:dxaOrig="1600" w:dyaOrig="600">
          <v:shape id="_x0000_i1034" type="#_x0000_t75" style="width:80.25pt;height:30pt" o:ole="">
            <v:imagedata r:id="rId27" o:title=""/>
          </v:shape>
          <o:OLEObject Type="Embed" ProgID="Equation.3" ShapeID="_x0000_i1034" DrawAspect="Content" ObjectID="_1307979902" r:id="rId28"/>
        </w:object>
      </w:r>
    </w:p>
    <w:p w:rsidR="00EC703C" w:rsidRDefault="00EC703C" w:rsidP="00EC703C">
      <w:pPr>
        <w:rPr>
          <w:sz w:val="20"/>
          <w:szCs w:val="20"/>
          <w:lang w:val="en-GB"/>
        </w:rPr>
      </w:pPr>
    </w:p>
    <w:p w:rsidR="00EC703C" w:rsidRPr="002176A0" w:rsidRDefault="00EC703C" w:rsidP="00EC703C">
      <w:pPr>
        <w:rPr>
          <w:sz w:val="20"/>
          <w:szCs w:val="20"/>
          <w:lang w:val="en-GB"/>
        </w:rPr>
      </w:pPr>
      <w:r>
        <w:rPr>
          <w:sz w:val="20"/>
          <w:szCs w:val="20"/>
          <w:lang w:val="en-GB"/>
        </w:rPr>
        <w:t xml:space="preserve">- </w:t>
      </w:r>
      <w:r w:rsidR="00222F90" w:rsidRPr="00EC703C">
        <w:rPr>
          <w:position w:val="-24"/>
          <w:sz w:val="20"/>
          <w:szCs w:val="20"/>
          <w:lang w:val="en-GB"/>
        </w:rPr>
        <w:object w:dxaOrig="1260" w:dyaOrig="600">
          <v:shape id="_x0000_i1035" type="#_x0000_t75" style="width:63pt;height:30pt" o:ole="">
            <v:imagedata r:id="rId29" o:title=""/>
          </v:shape>
          <o:OLEObject Type="Embed" ProgID="Equation.3" ShapeID="_x0000_i1035" DrawAspect="Content" ObjectID="_1307979903" r:id="rId30"/>
        </w:object>
      </w:r>
      <w:r w:rsidRPr="00EC703C">
        <w:rPr>
          <w:lang w:val="en-GB"/>
        </w:rPr>
        <w:tab/>
      </w:r>
      <w:r w:rsidRPr="00EC703C">
        <w:rPr>
          <w:lang w:val="en-GB"/>
        </w:rPr>
        <w:tab/>
      </w:r>
      <w:r w:rsidRPr="00EC703C">
        <w:rPr>
          <w:lang w:val="en-GB"/>
        </w:rPr>
        <w:tab/>
      </w:r>
      <w:r w:rsidRPr="00EC703C">
        <w:rPr>
          <w:lang w:val="en-GB"/>
        </w:rPr>
        <w:tab/>
      </w:r>
      <w:r w:rsidRPr="00EC703C">
        <w:rPr>
          <w:lang w:val="en-GB"/>
        </w:rPr>
        <w:tab/>
      </w:r>
      <w:r w:rsidRPr="00EC703C">
        <w:rPr>
          <w:lang w:val="en-GB"/>
        </w:rPr>
        <w:tab/>
      </w:r>
      <w:r w:rsidRPr="00EC703C">
        <w:rPr>
          <w:lang w:val="en-GB"/>
        </w:rPr>
        <w:tab/>
      </w:r>
      <w:r>
        <w:rPr>
          <w:lang w:val="en-GB"/>
        </w:rPr>
        <w:tab/>
      </w:r>
      <w:r w:rsidRPr="002176A0">
        <w:rPr>
          <w:sz w:val="20"/>
          <w:szCs w:val="20"/>
          <w:lang w:val="en-GB"/>
        </w:rPr>
        <w:t xml:space="preserve"> </w:t>
      </w:r>
    </w:p>
    <w:p w:rsidR="009B09EE" w:rsidRDefault="009B09EE" w:rsidP="005F40A6">
      <w:pPr>
        <w:rPr>
          <w:lang w:val="en-GB"/>
        </w:rPr>
      </w:pPr>
    </w:p>
    <w:p w:rsidR="00222F90" w:rsidRDefault="00222F90" w:rsidP="005F40A6">
      <w:pPr>
        <w:rPr>
          <w:sz w:val="20"/>
          <w:szCs w:val="20"/>
          <w:lang w:val="en-GB"/>
        </w:rPr>
      </w:pPr>
      <w:r>
        <w:rPr>
          <w:lang w:val="en-GB"/>
        </w:rPr>
        <w:t>-</w:t>
      </w:r>
      <w:r w:rsidR="00835C56" w:rsidRPr="00EC703C">
        <w:rPr>
          <w:position w:val="-24"/>
          <w:sz w:val="20"/>
          <w:szCs w:val="20"/>
          <w:lang w:val="en-GB"/>
        </w:rPr>
        <w:object w:dxaOrig="2060" w:dyaOrig="600">
          <v:shape id="_x0000_i1036" type="#_x0000_t75" style="width:102.75pt;height:30pt" o:ole="">
            <v:imagedata r:id="rId31" o:title=""/>
          </v:shape>
          <o:OLEObject Type="Embed" ProgID="Equation.3" ShapeID="_x0000_i1036" DrawAspect="Content" ObjectID="_1307979904" r:id="rId32"/>
        </w:object>
      </w:r>
    </w:p>
    <w:p w:rsidR="00835C56" w:rsidRDefault="00835C56" w:rsidP="005F40A6">
      <w:pPr>
        <w:rPr>
          <w:sz w:val="20"/>
          <w:szCs w:val="20"/>
          <w:lang w:val="en-GB"/>
        </w:rPr>
      </w:pPr>
    </w:p>
    <w:p w:rsidR="00835C56" w:rsidRDefault="00835C56" w:rsidP="005F40A6">
      <w:pPr>
        <w:rPr>
          <w:sz w:val="20"/>
          <w:szCs w:val="20"/>
          <w:lang w:val="en-GB"/>
        </w:rPr>
      </w:pPr>
    </w:p>
    <w:p w:rsidR="00835C56" w:rsidRDefault="00835C56" w:rsidP="005F40A6">
      <w:pPr>
        <w:rPr>
          <w:sz w:val="20"/>
          <w:szCs w:val="20"/>
          <w:lang w:val="en-GB"/>
        </w:rPr>
      </w:pPr>
    </w:p>
    <w:p w:rsidR="00835C56" w:rsidRDefault="00835C56" w:rsidP="005F40A6">
      <w:pPr>
        <w:rPr>
          <w:lang w:val="en-GB"/>
        </w:rPr>
      </w:pPr>
      <w:r w:rsidRPr="00835C56">
        <w:rPr>
          <w:lang w:val="en-GB"/>
        </w:rPr>
        <w:t>-Then , we write</w:t>
      </w:r>
    </w:p>
    <w:p w:rsidR="00835C56" w:rsidRDefault="00835C56" w:rsidP="005F40A6">
      <w:pPr>
        <w:rPr>
          <w:lang w:val="en-GB"/>
        </w:rPr>
      </w:pPr>
    </w:p>
    <w:p w:rsidR="00835C56" w:rsidRPr="00835C56" w:rsidRDefault="00835C56" w:rsidP="005F40A6">
      <w:pPr>
        <w:rPr>
          <w:lang w:val="en-GB"/>
        </w:rPr>
      </w:pPr>
    </w:p>
    <w:p w:rsidR="00835C56" w:rsidRDefault="00835C56" w:rsidP="005F40A6">
      <w:pPr>
        <w:rPr>
          <w:sz w:val="20"/>
          <w:szCs w:val="20"/>
          <w:lang w:val="en-GB"/>
        </w:rPr>
      </w:pPr>
    </w:p>
    <w:p w:rsidR="00835C56" w:rsidRDefault="009951ED" w:rsidP="00835C56">
      <w:pPr>
        <w:ind w:firstLine="708"/>
        <w:rPr>
          <w:sz w:val="20"/>
          <w:szCs w:val="20"/>
          <w:lang w:val="en-GB"/>
        </w:rPr>
      </w:pPr>
      <w:r w:rsidRPr="00835C56">
        <w:rPr>
          <w:position w:val="-26"/>
          <w:lang w:val="en-GB"/>
        </w:rPr>
        <w:object w:dxaOrig="5120" w:dyaOrig="639">
          <v:shape id="_x0000_i1037" type="#_x0000_t75" style="width:255.75pt;height:32.25pt" o:ole="">
            <v:imagedata r:id="rId33" o:title=""/>
          </v:shape>
          <o:OLEObject Type="Embed" ProgID="Equation.3" ShapeID="_x0000_i1037" DrawAspect="Content" ObjectID="_1307979905" r:id="rId34"/>
        </w:object>
      </w:r>
    </w:p>
    <w:p w:rsidR="00835C56" w:rsidRPr="009B09EE" w:rsidRDefault="00835C56" w:rsidP="005F40A6">
      <w:pPr>
        <w:rPr>
          <w:lang w:val="en-GB"/>
        </w:rPr>
      </w:pPr>
    </w:p>
    <w:p w:rsidR="009B09EE" w:rsidRPr="005B4676" w:rsidRDefault="009B09EE" w:rsidP="005F40A6">
      <w:pPr>
        <w:rPr>
          <w:b/>
          <w:lang w:val="en-GB"/>
        </w:rPr>
      </w:pPr>
    </w:p>
    <w:p w:rsidR="005F40A6" w:rsidRPr="005B4676" w:rsidRDefault="005F40A6" w:rsidP="005F40A6">
      <w:pPr>
        <w:rPr>
          <w:b/>
          <w:lang w:val="en-GB"/>
        </w:rPr>
      </w:pPr>
      <w:r w:rsidRPr="005B4676">
        <w:rPr>
          <w:b/>
          <w:lang w:val="en-GB"/>
        </w:rPr>
        <w:t>4. The Expe</w:t>
      </w:r>
      <w:r w:rsidR="005B4676" w:rsidRPr="005B4676">
        <w:rPr>
          <w:b/>
          <w:lang w:val="en-GB"/>
        </w:rPr>
        <w:t xml:space="preserve">cted Cost-Minimizing Design of Emissions Standards </w:t>
      </w:r>
    </w:p>
    <w:p w:rsidR="005B4676" w:rsidRPr="005B4676" w:rsidRDefault="005B4676" w:rsidP="005F40A6">
      <w:pPr>
        <w:rPr>
          <w:b/>
          <w:lang w:val="en-GB"/>
        </w:rPr>
      </w:pPr>
    </w:p>
    <w:p w:rsidR="005B4676" w:rsidRPr="005B4676" w:rsidRDefault="005B4676" w:rsidP="005F40A6">
      <w:pPr>
        <w:rPr>
          <w:b/>
          <w:lang w:val="en-GB"/>
        </w:rPr>
      </w:pPr>
    </w:p>
    <w:p w:rsidR="005B4676" w:rsidRPr="005B4676" w:rsidRDefault="005B4676" w:rsidP="005F40A6">
      <w:pPr>
        <w:rPr>
          <w:b/>
          <w:lang w:val="en-GB"/>
        </w:rPr>
      </w:pPr>
    </w:p>
    <w:p w:rsidR="005B4676" w:rsidRPr="005B4676" w:rsidRDefault="005B4676" w:rsidP="005F40A6">
      <w:pPr>
        <w:rPr>
          <w:b/>
          <w:lang w:val="en-GB"/>
        </w:rPr>
      </w:pPr>
      <w:r w:rsidRPr="005B4676">
        <w:rPr>
          <w:b/>
          <w:lang w:val="en-GB"/>
        </w:rPr>
        <w:t>5.  The Costs of Optimally Designed Command and Control and Transferable Emissions Permit System   (or  Choosing Policy Instruments....)</w:t>
      </w:r>
    </w:p>
    <w:p w:rsidR="005B4676" w:rsidRPr="005B4676" w:rsidRDefault="005B4676" w:rsidP="005F40A6">
      <w:pPr>
        <w:rPr>
          <w:b/>
          <w:lang w:val="en-GB"/>
        </w:rPr>
      </w:pPr>
    </w:p>
    <w:p w:rsidR="005B4676" w:rsidRPr="005B4676" w:rsidRDefault="005B4676" w:rsidP="005F40A6">
      <w:pPr>
        <w:rPr>
          <w:b/>
          <w:lang w:val="en-GB"/>
        </w:rPr>
      </w:pPr>
    </w:p>
    <w:p w:rsidR="005B4676" w:rsidRPr="005B4676" w:rsidRDefault="005B4676" w:rsidP="005F40A6">
      <w:pPr>
        <w:rPr>
          <w:b/>
          <w:lang w:val="en-GB"/>
        </w:rPr>
      </w:pPr>
    </w:p>
    <w:p w:rsidR="005B4676" w:rsidRPr="005B4676" w:rsidRDefault="005B4676" w:rsidP="005F40A6">
      <w:pPr>
        <w:rPr>
          <w:lang w:val="en-GB"/>
        </w:rPr>
      </w:pPr>
      <w:r w:rsidRPr="005B4676">
        <w:rPr>
          <w:b/>
          <w:lang w:val="en-GB"/>
        </w:rPr>
        <w:t>6.  Conclusion</w:t>
      </w:r>
    </w:p>
    <w:p w:rsidR="005B4676" w:rsidRDefault="005B4676">
      <w:pPr>
        <w:spacing w:after="200" w:line="276" w:lineRule="auto"/>
        <w:rPr>
          <w:b/>
          <w:lang w:val="en-GB"/>
        </w:rPr>
      </w:pPr>
      <w:r>
        <w:rPr>
          <w:b/>
          <w:lang w:val="en-GB"/>
        </w:rPr>
        <w:br w:type="page"/>
      </w:r>
    </w:p>
    <w:p w:rsidR="005F40A6" w:rsidRPr="003B1166" w:rsidRDefault="005B4676" w:rsidP="005B4676">
      <w:pPr>
        <w:jc w:val="center"/>
        <w:rPr>
          <w:i/>
          <w:lang w:val="en-GB"/>
        </w:rPr>
      </w:pPr>
      <w:r w:rsidRPr="003B1166">
        <w:rPr>
          <w:i/>
          <w:lang w:val="en-GB"/>
        </w:rPr>
        <w:lastRenderedPageBreak/>
        <w:t>References</w:t>
      </w:r>
    </w:p>
    <w:p w:rsidR="005B4676" w:rsidRPr="003B1166" w:rsidRDefault="005B4676" w:rsidP="005B4676">
      <w:pPr>
        <w:rPr>
          <w:i/>
          <w:lang w:val="en-GB"/>
        </w:rPr>
      </w:pPr>
    </w:p>
    <w:p w:rsidR="005B4676" w:rsidRPr="003B1166" w:rsidRDefault="005B4676" w:rsidP="003B1166">
      <w:pPr>
        <w:pStyle w:val="Sangradetextonormal"/>
        <w:ind w:left="449" w:hangingChars="187" w:hanging="449"/>
        <w:rPr>
          <w:lang w:val="en-US"/>
        </w:rPr>
      </w:pPr>
      <w:r w:rsidRPr="003B1166">
        <w:rPr>
          <w:lang w:val="en-US"/>
        </w:rPr>
        <w:t>Arguedas, Carmen</w:t>
      </w:r>
      <w:r w:rsidR="00666748">
        <w:rPr>
          <w:lang w:val="en-US"/>
        </w:rPr>
        <w:t>.</w:t>
      </w:r>
      <w:r w:rsidRPr="003B1166">
        <w:rPr>
          <w:lang w:val="en-US"/>
        </w:rPr>
        <w:t xml:space="preserve"> (2008</w:t>
      </w:r>
      <w:r w:rsidR="00666748">
        <w:rPr>
          <w:lang w:val="en-US"/>
        </w:rPr>
        <w:t>).</w:t>
      </w:r>
      <w:r w:rsidRPr="003B1166">
        <w:rPr>
          <w:lang w:val="en-US"/>
        </w:rPr>
        <w:t xml:space="preserve"> </w:t>
      </w:r>
      <w:r w:rsidR="00666748">
        <w:rPr>
          <w:lang w:val="en-US"/>
        </w:rPr>
        <w:t>·</w:t>
      </w:r>
      <w:r w:rsidRPr="003B1166">
        <w:rPr>
          <w:lang w:val="en-US"/>
        </w:rPr>
        <w:t>To Comply or Not to Comply? Pollution Standard Setting Under Costly Monitoring and Sanctioning</w:t>
      </w:r>
      <w:r w:rsidR="00666748">
        <w:rPr>
          <w:lang w:val="en-US"/>
        </w:rPr>
        <w:t>”</w:t>
      </w:r>
      <w:r w:rsidRPr="003B1166">
        <w:rPr>
          <w:lang w:val="en-US"/>
        </w:rPr>
        <w:t xml:space="preserve">, </w:t>
      </w:r>
      <w:r w:rsidRPr="003B1166">
        <w:rPr>
          <w:i/>
          <w:iCs/>
          <w:lang w:val="en-US"/>
        </w:rPr>
        <w:t>Environmental and Resource Economics</w:t>
      </w:r>
      <w:r w:rsidRPr="003B1166">
        <w:rPr>
          <w:i/>
          <w:lang w:val="en-US"/>
        </w:rPr>
        <w:t xml:space="preserve"> </w:t>
      </w:r>
      <w:r w:rsidRPr="003B1166">
        <w:rPr>
          <w:lang w:val="en-US"/>
        </w:rPr>
        <w:t>41: 155-168.</w:t>
      </w:r>
    </w:p>
    <w:p w:rsidR="005B4676" w:rsidRPr="003B1166" w:rsidRDefault="005B4676" w:rsidP="005B4676">
      <w:pPr>
        <w:spacing w:before="120" w:after="60"/>
        <w:ind w:left="360" w:hanging="360"/>
        <w:rPr>
          <w:lang w:val="en-GB"/>
        </w:rPr>
      </w:pPr>
      <w:r w:rsidRPr="003B1166">
        <w:rPr>
          <w:lang w:val="en-GB"/>
        </w:rPr>
        <w:t>Blackman, Allen</w:t>
      </w:r>
      <w:r w:rsidR="00666748">
        <w:rPr>
          <w:lang w:val="en-GB"/>
        </w:rPr>
        <w:t>.</w:t>
      </w:r>
      <w:r w:rsidRPr="003B1166">
        <w:rPr>
          <w:lang w:val="en-GB"/>
        </w:rPr>
        <w:t xml:space="preserve"> (2009</w:t>
      </w:r>
      <w:r w:rsidR="00666748">
        <w:rPr>
          <w:lang w:val="en-GB"/>
        </w:rPr>
        <w:t>).</w:t>
      </w:r>
      <w:r w:rsidRPr="003B1166">
        <w:rPr>
          <w:lang w:val="en-GB"/>
        </w:rPr>
        <w:t xml:space="preserve"> </w:t>
      </w:r>
      <w:r w:rsidR="00666748">
        <w:rPr>
          <w:lang w:val="en-GB"/>
        </w:rPr>
        <w:t>“</w:t>
      </w:r>
      <w:r w:rsidRPr="003B1166">
        <w:rPr>
          <w:lang w:val="en-GB"/>
        </w:rPr>
        <w:t>Colombia’s Discharge Fee Program: Incentives for Polluters or Regulators?</w:t>
      </w:r>
      <w:r w:rsidR="00666748">
        <w:rPr>
          <w:lang w:val="en-GB"/>
        </w:rPr>
        <w:t>”</w:t>
      </w:r>
      <w:r w:rsidRPr="003B1166">
        <w:rPr>
          <w:lang w:val="en-GB"/>
        </w:rPr>
        <w:t xml:space="preserve">,  </w:t>
      </w:r>
      <w:r w:rsidRPr="003B1166">
        <w:rPr>
          <w:i/>
          <w:lang w:val="en-GB"/>
        </w:rPr>
        <w:t>Journal of Environmental Management</w:t>
      </w:r>
      <w:r w:rsidRPr="003B1166">
        <w:rPr>
          <w:lang w:val="en-GB"/>
        </w:rPr>
        <w:t xml:space="preserve"> 90 (1): 101-119. </w:t>
      </w:r>
    </w:p>
    <w:p w:rsidR="005B4676" w:rsidRPr="003B1166" w:rsidRDefault="005B4676" w:rsidP="005B4676">
      <w:pPr>
        <w:spacing w:before="120" w:after="60"/>
        <w:ind w:left="360" w:hanging="360"/>
        <w:rPr>
          <w:lang w:val="en-GB"/>
        </w:rPr>
      </w:pPr>
      <w:r w:rsidRPr="003B1166">
        <w:rPr>
          <w:lang w:val="en-GB"/>
        </w:rPr>
        <w:t>Bohm, Peter and Clifford S. Russell</w:t>
      </w:r>
      <w:r w:rsidR="00666748">
        <w:rPr>
          <w:lang w:val="en-GB"/>
        </w:rPr>
        <w:t>. (1985).</w:t>
      </w:r>
      <w:r w:rsidRPr="003B1166">
        <w:rPr>
          <w:lang w:val="en-GB"/>
        </w:rPr>
        <w:t xml:space="preserve"> </w:t>
      </w:r>
      <w:r w:rsidR="00666748">
        <w:rPr>
          <w:lang w:val="en-GB"/>
        </w:rPr>
        <w:t>“</w:t>
      </w:r>
      <w:r w:rsidRPr="003B1166">
        <w:rPr>
          <w:lang w:val="en-GB"/>
        </w:rPr>
        <w:t>Comparative Analysis of Alternative Policy Instruments</w:t>
      </w:r>
      <w:r w:rsidR="00666748">
        <w:rPr>
          <w:lang w:val="en-GB"/>
        </w:rPr>
        <w:t>”</w:t>
      </w:r>
      <w:r w:rsidRPr="003B1166">
        <w:rPr>
          <w:lang w:val="en-GB"/>
        </w:rPr>
        <w:t xml:space="preserve">, in A. V. Kneese &amp; J. L. Sweeney, eds., </w:t>
      </w:r>
      <w:r w:rsidRPr="003B1166">
        <w:rPr>
          <w:i/>
          <w:lang w:val="en-GB"/>
        </w:rPr>
        <w:t>Handbook of Natural Resource and Energy Economics</w:t>
      </w:r>
      <w:r w:rsidRPr="003B1166">
        <w:rPr>
          <w:lang w:val="en-GB"/>
        </w:rPr>
        <w:t>, Elsevier</w:t>
      </w:r>
    </w:p>
    <w:p w:rsidR="005B4676" w:rsidRPr="003B1166" w:rsidRDefault="005B4676" w:rsidP="005B4676">
      <w:pPr>
        <w:spacing w:before="120" w:after="60"/>
        <w:ind w:left="360" w:hanging="360"/>
        <w:rPr>
          <w:lang w:val="en-GB"/>
        </w:rPr>
      </w:pPr>
      <w:r w:rsidRPr="003B1166">
        <w:rPr>
          <w:lang w:val="en-GB"/>
        </w:rPr>
        <w:t>Burtraw, Dallas</w:t>
      </w:r>
      <w:r w:rsidR="00666748">
        <w:rPr>
          <w:lang w:val="en-GB"/>
        </w:rPr>
        <w:t>.</w:t>
      </w:r>
      <w:r w:rsidRPr="003B1166">
        <w:rPr>
          <w:lang w:val="en-GB"/>
        </w:rPr>
        <w:t xml:space="preserve"> (1996</w:t>
      </w:r>
      <w:r w:rsidR="00666748">
        <w:rPr>
          <w:lang w:val="en-GB"/>
        </w:rPr>
        <w:t>).</w:t>
      </w:r>
      <w:r w:rsidRPr="003B1166">
        <w:rPr>
          <w:lang w:val="en-GB"/>
        </w:rPr>
        <w:t xml:space="preserve"> </w:t>
      </w:r>
      <w:r w:rsidR="00666748">
        <w:rPr>
          <w:lang w:val="en-GB"/>
        </w:rPr>
        <w:t>“</w:t>
      </w:r>
      <w:r w:rsidRPr="003B1166">
        <w:rPr>
          <w:lang w:val="en-GB"/>
        </w:rPr>
        <w:t>The SO2 Emissions Trading Program: Cost Savings without Allowance Trades</w:t>
      </w:r>
      <w:r w:rsidR="00666748">
        <w:rPr>
          <w:lang w:val="en-GB"/>
        </w:rPr>
        <w:t>”</w:t>
      </w:r>
      <w:r w:rsidRPr="003B1166">
        <w:rPr>
          <w:lang w:val="en-GB"/>
        </w:rPr>
        <w:t xml:space="preserve">, </w:t>
      </w:r>
      <w:r w:rsidRPr="003B1166">
        <w:rPr>
          <w:i/>
          <w:lang w:val="en-GB"/>
        </w:rPr>
        <w:t>Contemporary Economic Policy</w:t>
      </w:r>
      <w:r w:rsidRPr="003B1166">
        <w:rPr>
          <w:lang w:val="en-GB"/>
        </w:rPr>
        <w:t xml:space="preserve"> 14(2): 79-94.</w:t>
      </w:r>
    </w:p>
    <w:p w:rsidR="005B4676" w:rsidRPr="003B1166" w:rsidRDefault="005B4676" w:rsidP="005B4676">
      <w:pPr>
        <w:spacing w:before="120" w:after="60"/>
        <w:ind w:left="360" w:hanging="360"/>
        <w:rPr>
          <w:lang w:val="en-GB"/>
        </w:rPr>
      </w:pPr>
      <w:r w:rsidRPr="003B1166">
        <w:rPr>
          <w:lang w:val="en-GB"/>
        </w:rPr>
        <w:t>Burtraw, Dallas</w:t>
      </w:r>
      <w:r w:rsidR="00666748">
        <w:rPr>
          <w:lang w:val="en-GB"/>
        </w:rPr>
        <w:t>.</w:t>
      </w:r>
      <w:r w:rsidRPr="003B1166">
        <w:rPr>
          <w:lang w:val="en-GB"/>
        </w:rPr>
        <w:t xml:space="preserve"> (1999</w:t>
      </w:r>
      <w:r w:rsidR="00666748">
        <w:rPr>
          <w:lang w:val="en-GB"/>
        </w:rPr>
        <w:t>).</w:t>
      </w:r>
      <w:r w:rsidRPr="003B1166">
        <w:rPr>
          <w:lang w:val="en-GB"/>
        </w:rPr>
        <w:t xml:space="preserve"> </w:t>
      </w:r>
      <w:r w:rsidR="00666748">
        <w:rPr>
          <w:lang w:val="en-GB"/>
        </w:rPr>
        <w:t>“</w:t>
      </w:r>
      <w:r w:rsidRPr="003B1166">
        <w:rPr>
          <w:lang w:val="en-GB"/>
        </w:rPr>
        <w:t>Cost savings, market performance and economic benefits of the US Acid Rain Program</w:t>
      </w:r>
      <w:r w:rsidR="00666748">
        <w:rPr>
          <w:lang w:val="en-GB"/>
        </w:rPr>
        <w:t>”</w:t>
      </w:r>
      <w:r w:rsidRPr="003B1166">
        <w:rPr>
          <w:lang w:val="en-GB"/>
        </w:rPr>
        <w:t xml:space="preserve">, in S. Sorrell and J. Skea, eds., </w:t>
      </w:r>
      <w:r w:rsidRPr="003B1166">
        <w:rPr>
          <w:i/>
          <w:lang w:val="en-GB"/>
        </w:rPr>
        <w:t>Pollution for Sale: Emissions Trading and Joint Implementation</w:t>
      </w:r>
      <w:r w:rsidRPr="003B1166">
        <w:rPr>
          <w:lang w:val="en-GB"/>
        </w:rPr>
        <w:t>, Edward Elgar Publishing Limited.</w:t>
      </w:r>
    </w:p>
    <w:p w:rsidR="005B4676" w:rsidRPr="003B1166" w:rsidRDefault="005B4676" w:rsidP="003B1166">
      <w:pPr>
        <w:ind w:left="449" w:hangingChars="187" w:hanging="449"/>
        <w:rPr>
          <w:lang w:val="en-US"/>
        </w:rPr>
      </w:pPr>
      <w:r w:rsidRPr="003B1166">
        <w:rPr>
          <w:lang w:val="en-US"/>
        </w:rPr>
        <w:t>Chávez,</w:t>
      </w:r>
      <w:r w:rsidR="00666748">
        <w:rPr>
          <w:lang w:val="en-US"/>
        </w:rPr>
        <w:t xml:space="preserve"> Carlos, </w:t>
      </w:r>
      <w:r w:rsidRPr="003B1166">
        <w:rPr>
          <w:lang w:val="en-US"/>
        </w:rPr>
        <w:t>Mauricio Villena</w:t>
      </w:r>
      <w:r w:rsidR="00666748">
        <w:rPr>
          <w:lang w:val="en-US"/>
        </w:rPr>
        <w:t>, and John Stranlund.</w:t>
      </w:r>
      <w:r w:rsidRPr="003B1166">
        <w:rPr>
          <w:lang w:val="en-US"/>
        </w:rPr>
        <w:t xml:space="preserve">  (200</w:t>
      </w:r>
      <w:r w:rsidR="00666748">
        <w:rPr>
          <w:lang w:val="en-US"/>
        </w:rPr>
        <w:t>9)</w:t>
      </w:r>
      <w:r w:rsidR="00D16A6C">
        <w:rPr>
          <w:lang w:val="en-US"/>
        </w:rPr>
        <w:t>.</w:t>
      </w:r>
      <w:r w:rsidR="00D16A6C" w:rsidRPr="003B1166">
        <w:rPr>
          <w:lang w:val="en-US"/>
        </w:rPr>
        <w:t xml:space="preserve"> </w:t>
      </w:r>
      <w:r w:rsidR="00D16A6C">
        <w:rPr>
          <w:lang w:val="en-US"/>
        </w:rPr>
        <w:t>“</w:t>
      </w:r>
      <w:r w:rsidR="00666748">
        <w:rPr>
          <w:lang w:val="en-US"/>
        </w:rPr>
        <w:t>The Choice of Policy Instruments to Control Pollution Under Costly Enforcement and Incomplete Information”</w:t>
      </w:r>
      <w:r w:rsidRPr="003B1166">
        <w:rPr>
          <w:lang w:val="en-US"/>
        </w:rPr>
        <w:t xml:space="preserve">, forthcoming in </w:t>
      </w:r>
      <w:r w:rsidR="00666748">
        <w:rPr>
          <w:i/>
          <w:lang w:val="en-US"/>
        </w:rPr>
        <w:t xml:space="preserve">Journal of Applied </w:t>
      </w:r>
      <w:r w:rsidRPr="003B1166">
        <w:rPr>
          <w:i/>
          <w:lang w:val="en-US"/>
        </w:rPr>
        <w:t>Economics</w:t>
      </w:r>
      <w:r w:rsidRPr="003B1166">
        <w:rPr>
          <w:lang w:val="en-US"/>
        </w:rPr>
        <w:t>.</w:t>
      </w:r>
    </w:p>
    <w:p w:rsidR="005B4676" w:rsidRPr="003B1166" w:rsidRDefault="005B4676" w:rsidP="005B4676">
      <w:pPr>
        <w:pStyle w:val="Textoindependiente"/>
        <w:spacing w:before="120"/>
        <w:ind w:left="360" w:hanging="360"/>
        <w:rPr>
          <w:lang w:val="en-GB"/>
        </w:rPr>
      </w:pPr>
      <w:r w:rsidRPr="003B1166">
        <w:rPr>
          <w:lang w:val="en-GB"/>
        </w:rPr>
        <w:t>Cohen, Mark</w:t>
      </w:r>
      <w:r w:rsidR="00666748">
        <w:rPr>
          <w:lang w:val="en-GB"/>
        </w:rPr>
        <w:t>.</w:t>
      </w:r>
      <w:r w:rsidRPr="003B1166">
        <w:rPr>
          <w:lang w:val="en-GB"/>
        </w:rPr>
        <w:t xml:space="preserve"> (1999</w:t>
      </w:r>
      <w:r w:rsidR="00666748">
        <w:rPr>
          <w:lang w:val="en-GB"/>
        </w:rPr>
        <w:t>).</w:t>
      </w:r>
      <w:r w:rsidRPr="003B1166">
        <w:rPr>
          <w:lang w:val="en-GB"/>
        </w:rPr>
        <w:t xml:space="preserve"> </w:t>
      </w:r>
      <w:r w:rsidR="00666748">
        <w:rPr>
          <w:lang w:val="en-GB"/>
        </w:rPr>
        <w:t>“</w:t>
      </w:r>
      <w:r w:rsidRPr="003B1166">
        <w:rPr>
          <w:lang w:val="en-GB"/>
        </w:rPr>
        <w:t>Monitoring and Enforcement of Environmental Policy</w:t>
      </w:r>
      <w:r w:rsidR="00666748">
        <w:rPr>
          <w:lang w:val="en-GB"/>
        </w:rPr>
        <w:t>”</w:t>
      </w:r>
      <w:r w:rsidRPr="003B1166">
        <w:rPr>
          <w:lang w:val="en-GB"/>
        </w:rPr>
        <w:t xml:space="preserve">,  in Henk Folmer and Tom Tietemberg, eds., </w:t>
      </w:r>
      <w:r w:rsidRPr="003B1166">
        <w:rPr>
          <w:i/>
          <w:lang w:val="en-GB"/>
        </w:rPr>
        <w:t xml:space="preserve">International Yearbook of Environmental and Resource Economics </w:t>
      </w:r>
      <w:r w:rsidRPr="003B1166">
        <w:rPr>
          <w:iCs/>
          <w:lang w:val="en-GB"/>
        </w:rPr>
        <w:t>1999/2000</w:t>
      </w:r>
      <w:r w:rsidRPr="003B1166">
        <w:rPr>
          <w:lang w:val="en-GB"/>
        </w:rPr>
        <w:t>, Edward Elgar Publishing.</w:t>
      </w:r>
    </w:p>
    <w:p w:rsidR="005B4676" w:rsidRPr="003B1166" w:rsidRDefault="005B4676" w:rsidP="005B4676">
      <w:pPr>
        <w:spacing w:before="120"/>
        <w:ind w:left="360" w:hanging="360"/>
        <w:rPr>
          <w:lang w:val="en-GB"/>
        </w:rPr>
      </w:pPr>
      <w:r w:rsidRPr="003B1166">
        <w:rPr>
          <w:lang w:val="en-GB"/>
        </w:rPr>
        <w:t>Garvie, Devon and Andrew Keeler</w:t>
      </w:r>
      <w:r w:rsidR="00886FA7">
        <w:rPr>
          <w:lang w:val="en-GB"/>
        </w:rPr>
        <w:t>.</w:t>
      </w:r>
      <w:r w:rsidRPr="003B1166">
        <w:rPr>
          <w:lang w:val="en-GB"/>
        </w:rPr>
        <w:t xml:space="preserve"> (1994</w:t>
      </w:r>
      <w:r w:rsidR="00886FA7">
        <w:rPr>
          <w:lang w:val="en-GB"/>
        </w:rPr>
        <w:t>).</w:t>
      </w:r>
      <w:r w:rsidRPr="003B1166">
        <w:rPr>
          <w:lang w:val="en-GB"/>
        </w:rPr>
        <w:t xml:space="preserve"> </w:t>
      </w:r>
      <w:r w:rsidR="00886FA7">
        <w:rPr>
          <w:lang w:val="en-GB"/>
        </w:rPr>
        <w:t xml:space="preserve"> “</w:t>
      </w:r>
      <w:r w:rsidRPr="003B1166">
        <w:rPr>
          <w:lang w:val="en-GB"/>
        </w:rPr>
        <w:t>Incomplete Enforcement with Endogenous Regulatory Choice</w:t>
      </w:r>
      <w:r w:rsidR="00886FA7">
        <w:rPr>
          <w:lang w:val="en-GB"/>
        </w:rPr>
        <w:t>”</w:t>
      </w:r>
      <w:r w:rsidRPr="003B1166">
        <w:rPr>
          <w:lang w:val="en-GB"/>
        </w:rPr>
        <w:t xml:space="preserve">,  </w:t>
      </w:r>
      <w:r w:rsidRPr="003B1166">
        <w:rPr>
          <w:i/>
          <w:lang w:val="en-GB"/>
        </w:rPr>
        <w:t>Journal of Public Economics</w:t>
      </w:r>
      <w:r w:rsidRPr="003B1166">
        <w:rPr>
          <w:lang w:val="en-GB"/>
        </w:rPr>
        <w:t xml:space="preserve"> 55: 141-162.</w:t>
      </w:r>
    </w:p>
    <w:p w:rsidR="005B4676" w:rsidRPr="003B1166" w:rsidRDefault="005B4676" w:rsidP="005B4676">
      <w:pPr>
        <w:spacing w:before="120"/>
        <w:ind w:left="360" w:hanging="360"/>
        <w:rPr>
          <w:lang w:val="en-GB"/>
        </w:rPr>
      </w:pPr>
      <w:r w:rsidRPr="003B1166">
        <w:rPr>
          <w:lang w:val="en-GB"/>
        </w:rPr>
        <w:t>Hahn, Robert and Robert Axtell</w:t>
      </w:r>
      <w:r w:rsidR="00886FA7">
        <w:rPr>
          <w:lang w:val="en-GB"/>
        </w:rPr>
        <w:t>.</w:t>
      </w:r>
      <w:r w:rsidRPr="003B1166">
        <w:rPr>
          <w:lang w:val="en-GB"/>
        </w:rPr>
        <w:t xml:space="preserve"> (1995</w:t>
      </w:r>
      <w:r w:rsidR="00886FA7">
        <w:rPr>
          <w:lang w:val="en-GB"/>
        </w:rPr>
        <w:t>). “</w:t>
      </w:r>
      <w:r w:rsidRPr="003B1166">
        <w:rPr>
          <w:lang w:val="en-GB"/>
        </w:rPr>
        <w:t>Reevaluating the Relationship between Transferable Property Rights and Command and Control Regulations</w:t>
      </w:r>
      <w:r w:rsidR="00886FA7">
        <w:rPr>
          <w:lang w:val="en-GB"/>
        </w:rPr>
        <w:t>”</w:t>
      </w:r>
      <w:r w:rsidRPr="003B1166">
        <w:rPr>
          <w:lang w:val="en-GB"/>
        </w:rPr>
        <w:t xml:space="preserve">,  </w:t>
      </w:r>
      <w:r w:rsidRPr="003B1166">
        <w:rPr>
          <w:i/>
          <w:lang w:val="en-GB"/>
        </w:rPr>
        <w:t>Journal of Regulatory Economics</w:t>
      </w:r>
      <w:r w:rsidRPr="003B1166">
        <w:rPr>
          <w:lang w:val="en-GB"/>
        </w:rPr>
        <w:t xml:space="preserve"> 8: 125-148.</w:t>
      </w:r>
    </w:p>
    <w:p w:rsidR="005B4676" w:rsidRPr="003B1166" w:rsidRDefault="005B4676" w:rsidP="005B4676">
      <w:pPr>
        <w:spacing w:before="120"/>
        <w:ind w:left="360" w:hanging="360"/>
        <w:rPr>
          <w:lang w:val="en-GB"/>
        </w:rPr>
      </w:pPr>
      <w:r w:rsidRPr="003B1166">
        <w:rPr>
          <w:lang w:val="en-GB"/>
        </w:rPr>
        <w:t>Heyes, Anthony</w:t>
      </w:r>
      <w:r w:rsidR="00886FA7">
        <w:rPr>
          <w:lang w:val="en-GB"/>
        </w:rPr>
        <w:t>.</w:t>
      </w:r>
      <w:r w:rsidRPr="003B1166">
        <w:rPr>
          <w:lang w:val="en-GB"/>
        </w:rPr>
        <w:t xml:space="preserve"> (2000</w:t>
      </w:r>
      <w:r w:rsidR="00886FA7">
        <w:rPr>
          <w:lang w:val="en-GB"/>
        </w:rPr>
        <w:t>).</w:t>
      </w:r>
      <w:r w:rsidRPr="003B1166">
        <w:rPr>
          <w:lang w:val="en-GB"/>
        </w:rPr>
        <w:t xml:space="preserve"> </w:t>
      </w:r>
      <w:r w:rsidR="00886FA7">
        <w:rPr>
          <w:lang w:val="en-GB"/>
        </w:rPr>
        <w:t>“</w:t>
      </w:r>
      <w:r w:rsidRPr="003B1166">
        <w:rPr>
          <w:lang w:val="en-GB"/>
        </w:rPr>
        <w:t>Implementing Environmental Regulation: Enforcement and Compliance</w:t>
      </w:r>
      <w:r w:rsidR="00886FA7">
        <w:rPr>
          <w:lang w:val="en-GB"/>
        </w:rPr>
        <w:t>”</w:t>
      </w:r>
      <w:r w:rsidRPr="003B1166">
        <w:rPr>
          <w:lang w:val="en-GB"/>
        </w:rPr>
        <w:t xml:space="preserve">, </w:t>
      </w:r>
      <w:r w:rsidRPr="003B1166">
        <w:rPr>
          <w:i/>
          <w:lang w:val="en-GB"/>
        </w:rPr>
        <w:t xml:space="preserve">Journal of Regulatory Economics </w:t>
      </w:r>
      <w:r w:rsidRPr="003B1166">
        <w:rPr>
          <w:lang w:val="en-GB"/>
        </w:rPr>
        <w:t>17(2): 107-129.</w:t>
      </w:r>
    </w:p>
    <w:p w:rsidR="005B4676" w:rsidRPr="003B1166" w:rsidRDefault="005B4676" w:rsidP="005B4676">
      <w:pPr>
        <w:spacing w:before="120"/>
        <w:ind w:left="360" w:hanging="360"/>
        <w:rPr>
          <w:lang w:val="en-GB"/>
        </w:rPr>
      </w:pPr>
      <w:r w:rsidRPr="003B1166">
        <w:rPr>
          <w:lang w:val="en-GB"/>
        </w:rPr>
        <w:t>Malik, Arun</w:t>
      </w:r>
      <w:r w:rsidR="00886FA7">
        <w:rPr>
          <w:lang w:val="en-GB"/>
        </w:rPr>
        <w:t>.</w:t>
      </w:r>
      <w:r w:rsidRPr="003B1166">
        <w:rPr>
          <w:lang w:val="en-GB"/>
        </w:rPr>
        <w:t xml:space="preserve"> (1992</w:t>
      </w:r>
      <w:r w:rsidR="00886FA7">
        <w:rPr>
          <w:lang w:val="en-GB"/>
        </w:rPr>
        <w:t>). “</w:t>
      </w:r>
      <w:r w:rsidRPr="003B1166">
        <w:rPr>
          <w:lang w:val="en-GB"/>
        </w:rPr>
        <w:t>Enforcement Cost and the Choice of Policy Instruments for Controlling Pollution</w:t>
      </w:r>
      <w:r w:rsidR="00886FA7">
        <w:rPr>
          <w:lang w:val="en-GB"/>
        </w:rPr>
        <w:t>”</w:t>
      </w:r>
      <w:r w:rsidRPr="003B1166">
        <w:rPr>
          <w:lang w:val="en-GB"/>
        </w:rPr>
        <w:t xml:space="preserve">, </w:t>
      </w:r>
      <w:r w:rsidRPr="003B1166">
        <w:rPr>
          <w:i/>
          <w:lang w:val="en-GB"/>
        </w:rPr>
        <w:t>Economic Inquiry</w:t>
      </w:r>
      <w:r w:rsidRPr="003B1166">
        <w:rPr>
          <w:lang w:val="en-GB"/>
        </w:rPr>
        <w:t xml:space="preserve"> XXX: 714-721.</w:t>
      </w:r>
    </w:p>
    <w:p w:rsidR="005B4676" w:rsidRPr="003B1166" w:rsidRDefault="005B4676" w:rsidP="005B4676">
      <w:pPr>
        <w:spacing w:before="120"/>
        <w:ind w:left="360" w:hanging="360"/>
        <w:rPr>
          <w:lang w:val="en-GB"/>
        </w:rPr>
      </w:pPr>
      <w:r w:rsidRPr="003B1166">
        <w:rPr>
          <w:lang w:val="en-GB"/>
        </w:rPr>
        <w:t>Malik, Arun</w:t>
      </w:r>
      <w:r w:rsidR="00886FA7">
        <w:rPr>
          <w:lang w:val="en-GB"/>
        </w:rPr>
        <w:t>.</w:t>
      </w:r>
      <w:r w:rsidRPr="003B1166">
        <w:rPr>
          <w:lang w:val="en-GB"/>
        </w:rPr>
        <w:t xml:space="preserve"> (1990</w:t>
      </w:r>
      <w:r w:rsidR="00886FA7">
        <w:rPr>
          <w:lang w:val="en-GB"/>
        </w:rPr>
        <w:t>).</w:t>
      </w:r>
      <w:r w:rsidRPr="003B1166">
        <w:rPr>
          <w:lang w:val="en-GB"/>
        </w:rPr>
        <w:t xml:space="preserve"> </w:t>
      </w:r>
      <w:r w:rsidR="00886FA7">
        <w:rPr>
          <w:lang w:val="en-GB"/>
        </w:rPr>
        <w:t>“</w:t>
      </w:r>
      <w:r w:rsidRPr="003B1166">
        <w:rPr>
          <w:lang w:val="en-GB"/>
        </w:rPr>
        <w:t>Markets for Pollution Control when Firms are Noncompliant</w:t>
      </w:r>
      <w:r w:rsidR="00886FA7">
        <w:rPr>
          <w:lang w:val="en-GB"/>
        </w:rPr>
        <w:t>”</w:t>
      </w:r>
      <w:r w:rsidRPr="003B1166">
        <w:rPr>
          <w:lang w:val="en-GB"/>
        </w:rPr>
        <w:t xml:space="preserve">, </w:t>
      </w:r>
      <w:r w:rsidRPr="003B1166">
        <w:rPr>
          <w:i/>
          <w:lang w:val="en-GB"/>
        </w:rPr>
        <w:t>Journal of Environmental Economics and Management</w:t>
      </w:r>
      <w:r w:rsidRPr="003B1166">
        <w:rPr>
          <w:lang w:val="en-GB"/>
        </w:rPr>
        <w:t xml:space="preserve"> 18: 97-106.</w:t>
      </w:r>
    </w:p>
    <w:p w:rsidR="005B4676" w:rsidRPr="00886FA7" w:rsidRDefault="005B4676" w:rsidP="005B4676">
      <w:pPr>
        <w:spacing w:before="120"/>
        <w:ind w:left="360" w:hanging="360"/>
        <w:rPr>
          <w:lang w:val="en-US"/>
        </w:rPr>
      </w:pPr>
      <w:r w:rsidRPr="00886FA7">
        <w:t>Montero, Juan Pablo, José Miguel Sánchez, and Ricardo Katz</w:t>
      </w:r>
      <w:r w:rsidR="00886FA7" w:rsidRPr="00886FA7">
        <w:t>.</w:t>
      </w:r>
      <w:r w:rsidRPr="00886FA7">
        <w:t xml:space="preserve">  </w:t>
      </w:r>
      <w:r w:rsidRPr="00A573FB">
        <w:rPr>
          <w:lang w:val="en-US"/>
        </w:rPr>
        <w:t>(2002</w:t>
      </w:r>
      <w:r w:rsidR="00886FA7" w:rsidRPr="00A573FB">
        <w:rPr>
          <w:lang w:val="en-US"/>
        </w:rPr>
        <w:t>).</w:t>
      </w:r>
      <w:r w:rsidRPr="00A573FB">
        <w:rPr>
          <w:lang w:val="en-US"/>
        </w:rPr>
        <w:t xml:space="preserve"> </w:t>
      </w:r>
      <w:r w:rsidR="00886FA7" w:rsidRPr="00886FA7">
        <w:rPr>
          <w:lang w:val="en-US"/>
        </w:rPr>
        <w:t>“</w:t>
      </w:r>
      <w:r w:rsidRPr="00886FA7">
        <w:rPr>
          <w:lang w:val="en-US"/>
        </w:rPr>
        <w:t>A Market-Based Environmental Policy Experiment in Chile</w:t>
      </w:r>
      <w:r w:rsidR="00886FA7">
        <w:rPr>
          <w:lang w:val="en-US"/>
        </w:rPr>
        <w:t>”</w:t>
      </w:r>
      <w:r w:rsidRPr="00886FA7">
        <w:rPr>
          <w:lang w:val="en-US"/>
        </w:rPr>
        <w:t xml:space="preserve">, </w:t>
      </w:r>
      <w:r w:rsidRPr="00886FA7">
        <w:rPr>
          <w:i/>
          <w:lang w:val="en-US"/>
        </w:rPr>
        <w:t>Journal of Law and Economics</w:t>
      </w:r>
      <w:r w:rsidRPr="00886FA7">
        <w:rPr>
          <w:lang w:val="en-US"/>
        </w:rPr>
        <w:t xml:space="preserve"> 45: 267-287.</w:t>
      </w:r>
    </w:p>
    <w:p w:rsidR="005B4676" w:rsidRPr="003B1166" w:rsidRDefault="005B4676" w:rsidP="005B4676">
      <w:pPr>
        <w:spacing w:before="120"/>
        <w:ind w:left="360" w:hanging="360"/>
      </w:pPr>
      <w:r w:rsidRPr="003B1166">
        <w:t>Montero, Juan Pablo, José Miguel Sánchez, and Ricardo Katz</w:t>
      </w:r>
      <w:r w:rsidR="00886FA7">
        <w:t>.</w:t>
      </w:r>
      <w:r w:rsidRPr="003B1166">
        <w:t xml:space="preserve">  (2001</w:t>
      </w:r>
      <w:r w:rsidR="00886FA7">
        <w:t>).</w:t>
      </w:r>
      <w:r w:rsidRPr="003B1166">
        <w:t xml:space="preserve"> </w:t>
      </w:r>
      <w:r w:rsidR="00886FA7">
        <w:t>“</w:t>
      </w:r>
      <w:r w:rsidRPr="003B1166">
        <w:t>Análisis del Mercado de Emisiones de Material Particulado en Santiago</w:t>
      </w:r>
      <w:r w:rsidR="00886FA7">
        <w:t>”</w:t>
      </w:r>
      <w:r w:rsidRPr="003B1166">
        <w:t xml:space="preserve">, </w:t>
      </w:r>
      <w:r w:rsidRPr="003B1166">
        <w:rPr>
          <w:i/>
        </w:rPr>
        <w:t>Estudios Públicos</w:t>
      </w:r>
      <w:r w:rsidRPr="003B1166">
        <w:t xml:space="preserve"> 81: 177-203.</w:t>
      </w:r>
    </w:p>
    <w:p w:rsidR="005B4676" w:rsidRPr="00886FA7" w:rsidRDefault="005B4676" w:rsidP="005B4676">
      <w:pPr>
        <w:spacing w:before="120"/>
        <w:ind w:left="360" w:hanging="360"/>
        <w:rPr>
          <w:lang w:val="en-US"/>
        </w:rPr>
      </w:pPr>
      <w:r w:rsidRPr="00886FA7">
        <w:t>Palacios, Milagros and Carlos Chávez</w:t>
      </w:r>
      <w:r w:rsidR="00886FA7">
        <w:t>.</w:t>
      </w:r>
      <w:r w:rsidRPr="00886FA7">
        <w:t xml:space="preserve">  </w:t>
      </w:r>
      <w:r w:rsidRPr="00A573FB">
        <w:rPr>
          <w:lang w:val="en-US"/>
        </w:rPr>
        <w:t>(2005</w:t>
      </w:r>
      <w:r w:rsidR="00886FA7" w:rsidRPr="00A573FB">
        <w:rPr>
          <w:lang w:val="en-US"/>
        </w:rPr>
        <w:t>).</w:t>
      </w:r>
      <w:r w:rsidRPr="00A573FB">
        <w:rPr>
          <w:lang w:val="en-US"/>
        </w:rPr>
        <w:t xml:space="preserve"> </w:t>
      </w:r>
      <w:r w:rsidR="00886FA7" w:rsidRPr="00886FA7">
        <w:rPr>
          <w:lang w:val="en-US"/>
        </w:rPr>
        <w:t>“</w:t>
      </w:r>
      <w:r w:rsidRPr="00886FA7">
        <w:rPr>
          <w:lang w:val="en-US"/>
        </w:rPr>
        <w:t>Determinants of Compliance in the Emissions Compensation Program in Santiago, Chile</w:t>
      </w:r>
      <w:r w:rsidR="00886FA7">
        <w:rPr>
          <w:lang w:val="en-US"/>
        </w:rPr>
        <w:t>”</w:t>
      </w:r>
      <w:r w:rsidRPr="00886FA7">
        <w:rPr>
          <w:lang w:val="en-US"/>
        </w:rPr>
        <w:t xml:space="preserve">,  </w:t>
      </w:r>
      <w:r w:rsidRPr="00886FA7">
        <w:rPr>
          <w:i/>
          <w:lang w:val="en-US"/>
        </w:rPr>
        <w:t>Environment and Development Economics</w:t>
      </w:r>
      <w:r w:rsidRPr="00886FA7">
        <w:rPr>
          <w:lang w:val="en-US"/>
        </w:rPr>
        <w:t xml:space="preserve"> 10(4): 453-483.</w:t>
      </w:r>
    </w:p>
    <w:p w:rsidR="005B4676" w:rsidRPr="003B1166" w:rsidRDefault="005B4676" w:rsidP="005B4676">
      <w:pPr>
        <w:spacing w:before="120"/>
        <w:ind w:left="360" w:hanging="360"/>
      </w:pPr>
      <w:r w:rsidRPr="003B1166">
        <w:t>Palacios, Milagros and Carlos Chávez</w:t>
      </w:r>
      <w:r w:rsidR="00886FA7">
        <w:t>.</w:t>
      </w:r>
      <w:r w:rsidRPr="003B1166">
        <w:t xml:space="preserve">  (2002</w:t>
      </w:r>
      <w:r w:rsidR="00886FA7">
        <w:t>).</w:t>
      </w:r>
      <w:r w:rsidRPr="003B1166">
        <w:t xml:space="preserve">  </w:t>
      </w:r>
      <w:r w:rsidR="00886FA7">
        <w:t>“</w:t>
      </w:r>
      <w:r w:rsidRPr="003B1166">
        <w:t>Programa de Compensación de Emisiones: Evaluac</w:t>
      </w:r>
      <w:r w:rsidR="00886FA7">
        <w:t>ión de su Diseño de Fiscalizació</w:t>
      </w:r>
      <w:r w:rsidRPr="003B1166">
        <w:t>n y Cumplimiento</w:t>
      </w:r>
      <w:r w:rsidR="00886FA7">
        <w:t>”</w:t>
      </w:r>
      <w:r w:rsidRPr="003B1166">
        <w:t xml:space="preserve">,  </w:t>
      </w:r>
      <w:r w:rsidRPr="003B1166">
        <w:rPr>
          <w:i/>
        </w:rPr>
        <w:t xml:space="preserve">Estudios Públicos </w:t>
      </w:r>
      <w:r w:rsidRPr="003B1166">
        <w:t>88: 97-126.</w:t>
      </w:r>
    </w:p>
    <w:p w:rsidR="005B4676" w:rsidRPr="003B1166" w:rsidRDefault="005B4676" w:rsidP="005B4676">
      <w:pPr>
        <w:spacing w:before="120"/>
        <w:ind w:left="360" w:hanging="360"/>
        <w:rPr>
          <w:lang w:val="en-GB"/>
        </w:rPr>
      </w:pPr>
      <w:r w:rsidRPr="00886FA7">
        <w:rPr>
          <w:lang w:val="en-US"/>
        </w:rPr>
        <w:lastRenderedPageBreak/>
        <w:t>Russell, Clifford S. and Philip T. Powell</w:t>
      </w:r>
      <w:r w:rsidR="00886FA7" w:rsidRPr="00886FA7">
        <w:rPr>
          <w:lang w:val="en-US"/>
        </w:rPr>
        <w:t>.</w:t>
      </w:r>
      <w:r w:rsidRPr="00886FA7">
        <w:rPr>
          <w:lang w:val="en-US"/>
        </w:rPr>
        <w:t xml:space="preserve"> (1996</w:t>
      </w:r>
      <w:r w:rsidR="00886FA7">
        <w:rPr>
          <w:lang w:val="en-US"/>
        </w:rPr>
        <w:t>).</w:t>
      </w:r>
      <w:r w:rsidRPr="00886FA7">
        <w:rPr>
          <w:lang w:val="en-US"/>
        </w:rPr>
        <w:t xml:space="preserve"> </w:t>
      </w:r>
      <w:r w:rsidR="00886FA7">
        <w:rPr>
          <w:lang w:val="en-US"/>
        </w:rPr>
        <w:t>“</w:t>
      </w:r>
      <w:r w:rsidRPr="00886FA7">
        <w:rPr>
          <w:lang w:val="en-US"/>
        </w:rPr>
        <w:t>Choosing Environmental Policy Tools: Theoretical Cautions and Practical Cons</w:t>
      </w:r>
      <w:r w:rsidRPr="003B1166">
        <w:rPr>
          <w:lang w:val="en-GB"/>
        </w:rPr>
        <w:t>iderations</w:t>
      </w:r>
      <w:r w:rsidR="00886FA7">
        <w:rPr>
          <w:lang w:val="en-GB"/>
        </w:rPr>
        <w:t>”</w:t>
      </w:r>
      <w:r w:rsidRPr="003B1166">
        <w:rPr>
          <w:lang w:val="en-GB"/>
        </w:rPr>
        <w:t xml:space="preserve">,  in Marie L. Livingston, ed, </w:t>
      </w:r>
      <w:r w:rsidRPr="003B1166">
        <w:rPr>
          <w:i/>
          <w:lang w:val="en-GB"/>
        </w:rPr>
        <w:t>Environmental Policy for Economies in Transition: Lessons Learned and Future Directions</w:t>
      </w:r>
      <w:r w:rsidRPr="003B1166">
        <w:rPr>
          <w:lang w:val="en-GB"/>
        </w:rPr>
        <w:t>, Proceedings of the Resource Policy Consortium Symposium, Washington, D.C.</w:t>
      </w:r>
    </w:p>
    <w:p w:rsidR="005B4676" w:rsidRPr="003B1166" w:rsidRDefault="005B4676" w:rsidP="005B4676">
      <w:pPr>
        <w:spacing w:before="120"/>
        <w:ind w:left="360" w:hanging="360"/>
        <w:rPr>
          <w:lang w:val="en-US"/>
        </w:rPr>
      </w:pPr>
      <w:r w:rsidRPr="003B1166">
        <w:rPr>
          <w:lang w:val="en-US"/>
        </w:rPr>
        <w:t>Stranlund, John K</w:t>
      </w:r>
      <w:r w:rsidR="00886FA7">
        <w:rPr>
          <w:lang w:val="en-US"/>
        </w:rPr>
        <w:t>.</w:t>
      </w:r>
      <w:r w:rsidRPr="003B1166">
        <w:rPr>
          <w:lang w:val="en-US"/>
        </w:rPr>
        <w:t xml:space="preserve"> (2007</w:t>
      </w:r>
      <w:r w:rsidR="00886FA7">
        <w:rPr>
          <w:lang w:val="en-US"/>
        </w:rPr>
        <w:t>).</w:t>
      </w:r>
      <w:r w:rsidRPr="003B1166">
        <w:rPr>
          <w:lang w:val="en-US"/>
        </w:rPr>
        <w:t xml:space="preserve"> </w:t>
      </w:r>
      <w:r w:rsidR="00886FA7">
        <w:rPr>
          <w:lang w:val="en-US"/>
        </w:rPr>
        <w:t>“</w:t>
      </w:r>
      <w:r w:rsidRPr="003B1166">
        <w:rPr>
          <w:lang w:val="en-US"/>
        </w:rPr>
        <w:t>The Regulatory Choice of Noncompliance in Emissions Trading Programs</w:t>
      </w:r>
      <w:r w:rsidR="00886FA7">
        <w:rPr>
          <w:lang w:val="en-US"/>
        </w:rPr>
        <w:t>”</w:t>
      </w:r>
      <w:r w:rsidRPr="003B1166">
        <w:rPr>
          <w:lang w:val="en-US"/>
        </w:rPr>
        <w:t xml:space="preserve">, </w:t>
      </w:r>
      <w:r w:rsidRPr="003B1166">
        <w:rPr>
          <w:i/>
          <w:iCs/>
          <w:lang w:val="en-US"/>
        </w:rPr>
        <w:t>Environmental and Resource Economics</w:t>
      </w:r>
      <w:r w:rsidRPr="003B1166">
        <w:rPr>
          <w:iCs/>
          <w:lang w:val="en-US"/>
        </w:rPr>
        <w:t xml:space="preserve"> 38(1), 99-117.</w:t>
      </w:r>
    </w:p>
    <w:p w:rsidR="005B4676" w:rsidRPr="003B1166" w:rsidRDefault="005B4676" w:rsidP="005B4676">
      <w:pPr>
        <w:spacing w:before="120"/>
        <w:ind w:left="360" w:hanging="360"/>
        <w:rPr>
          <w:lang w:val="en-GB"/>
        </w:rPr>
      </w:pPr>
      <w:r w:rsidRPr="003B1166">
        <w:rPr>
          <w:lang w:val="en-GB"/>
        </w:rPr>
        <w:t>Stranlund, John and Kanwalroop K. Dhanda</w:t>
      </w:r>
      <w:r w:rsidR="00886FA7">
        <w:rPr>
          <w:lang w:val="en-GB"/>
        </w:rPr>
        <w:t>.</w:t>
      </w:r>
      <w:r w:rsidRPr="003B1166">
        <w:rPr>
          <w:lang w:val="en-GB"/>
        </w:rPr>
        <w:t xml:space="preserve"> (1999</w:t>
      </w:r>
      <w:r w:rsidR="00886FA7">
        <w:rPr>
          <w:lang w:val="en-GB"/>
        </w:rPr>
        <w:t>).</w:t>
      </w:r>
      <w:r w:rsidRPr="003B1166">
        <w:rPr>
          <w:lang w:val="en-GB"/>
        </w:rPr>
        <w:t xml:space="preserve">  </w:t>
      </w:r>
      <w:r w:rsidR="00886FA7">
        <w:rPr>
          <w:lang w:val="en-GB"/>
        </w:rPr>
        <w:t>“</w:t>
      </w:r>
      <w:r w:rsidRPr="003B1166">
        <w:rPr>
          <w:lang w:val="en-GB"/>
        </w:rPr>
        <w:t>Endogenous Monitoring and Enforcement of a Transferable Emissions Permit System</w:t>
      </w:r>
      <w:r w:rsidR="00886FA7">
        <w:rPr>
          <w:lang w:val="en-GB"/>
        </w:rPr>
        <w:t>”</w:t>
      </w:r>
      <w:r w:rsidRPr="003B1166">
        <w:rPr>
          <w:lang w:val="en-GB"/>
        </w:rPr>
        <w:t xml:space="preserve">,  </w:t>
      </w:r>
      <w:r w:rsidRPr="003B1166">
        <w:rPr>
          <w:i/>
          <w:lang w:val="en-GB"/>
        </w:rPr>
        <w:t>Journal of Environmental Economics and Management</w:t>
      </w:r>
      <w:r w:rsidRPr="003B1166">
        <w:rPr>
          <w:lang w:val="en-GB"/>
        </w:rPr>
        <w:t xml:space="preserve"> 38(3): 267-282. </w:t>
      </w:r>
    </w:p>
    <w:p w:rsidR="005B4676" w:rsidRPr="003B1166" w:rsidRDefault="005B4676" w:rsidP="005B4676">
      <w:pPr>
        <w:rPr>
          <w:lang w:val="en-GB"/>
        </w:rPr>
      </w:pPr>
    </w:p>
    <w:sectPr w:rsidR="005B4676" w:rsidRPr="003B1166" w:rsidSect="00D94DD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58B" w:rsidRDefault="0047158B" w:rsidP="00714C3C">
      <w:r>
        <w:separator/>
      </w:r>
    </w:p>
  </w:endnote>
  <w:endnote w:type="continuationSeparator" w:id="1">
    <w:p w:rsidR="0047158B" w:rsidRDefault="0047158B" w:rsidP="00714C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58B" w:rsidRDefault="0047158B" w:rsidP="00714C3C">
      <w:r>
        <w:separator/>
      </w:r>
    </w:p>
  </w:footnote>
  <w:footnote w:type="continuationSeparator" w:id="1">
    <w:p w:rsidR="0047158B" w:rsidRDefault="0047158B" w:rsidP="00714C3C">
      <w:r>
        <w:continuationSeparator/>
      </w:r>
    </w:p>
  </w:footnote>
  <w:footnote w:id="2">
    <w:p w:rsidR="00714C3C" w:rsidRPr="00CE7FEF" w:rsidRDefault="00714C3C" w:rsidP="00714C3C">
      <w:pPr>
        <w:pStyle w:val="Textonotapie"/>
        <w:rPr>
          <w:sz w:val="24"/>
          <w:szCs w:val="24"/>
          <w:lang w:val="es-ES"/>
        </w:rPr>
      </w:pPr>
      <w:r w:rsidRPr="00CE7FEF">
        <w:rPr>
          <w:rStyle w:val="Refdenotaalpie"/>
          <w:sz w:val="24"/>
          <w:szCs w:val="24"/>
          <w:lang w:val="es-ES"/>
        </w:rPr>
        <w:t>*</w:t>
      </w:r>
      <w:r w:rsidRPr="00CE7FEF">
        <w:rPr>
          <w:sz w:val="24"/>
          <w:szCs w:val="24"/>
          <w:lang w:val="es-ES"/>
        </w:rPr>
        <w:t xml:space="preserve"> Send </w:t>
      </w:r>
      <w:r w:rsidRPr="00CE7FEF">
        <w:rPr>
          <w:bCs/>
          <w:sz w:val="24"/>
          <w:szCs w:val="24"/>
          <w:lang w:val="es-ES"/>
        </w:rPr>
        <w:t>correspondence to</w:t>
      </w:r>
      <w:r w:rsidRPr="00CE7FEF">
        <w:rPr>
          <w:sz w:val="24"/>
          <w:szCs w:val="24"/>
          <w:lang w:val="es-ES"/>
        </w:rPr>
        <w:t xml:space="preserve"> Marcelo Caffera, Departamento de Economía, Universidad de Montevideo, </w:t>
      </w:r>
      <w:r w:rsidRPr="00CE7FEF">
        <w:rPr>
          <w:sz w:val="24"/>
          <w:szCs w:val="24"/>
          <w:highlight w:val="yellow"/>
          <w:lang w:val="es-ES"/>
        </w:rPr>
        <w:t>Direcciòn postal</w:t>
      </w:r>
      <w:r w:rsidRPr="00CE7FEF">
        <w:rPr>
          <w:sz w:val="24"/>
          <w:szCs w:val="24"/>
          <w:lang w:val="es-ES"/>
        </w:rPr>
        <w:t xml:space="preserve"> , Montevideo, Uruguay. </w:t>
      </w:r>
      <w:r w:rsidRPr="00CE7FEF">
        <w:rPr>
          <w:sz w:val="24"/>
          <w:szCs w:val="24"/>
        </w:rPr>
        <w:t xml:space="preserve">Phone: (XX-ZZ) XXXXXX, Fax: XXXXXX, E-mail: </w:t>
      </w:r>
      <w:hyperlink r:id="rId1" w:history="1">
        <w:r w:rsidRPr="00CE7FEF">
          <w:rPr>
            <w:rStyle w:val="Hipervnculo"/>
            <w:color w:val="auto"/>
            <w:sz w:val="24"/>
            <w:szCs w:val="24"/>
            <w:u w:val="none"/>
          </w:rPr>
          <w:t>marcaffera@um.edu.uy</w:t>
        </w:r>
      </w:hyperlink>
      <w:r w:rsidRPr="00CE7FEF">
        <w:rPr>
          <w:sz w:val="24"/>
          <w:szCs w:val="24"/>
        </w:rPr>
        <w:t xml:space="preserve">.  </w:t>
      </w:r>
      <w:r w:rsidRPr="00CE7FEF">
        <w:rPr>
          <w:sz w:val="24"/>
          <w:szCs w:val="24"/>
          <w:lang w:val="es-ES"/>
        </w:rPr>
        <w:t>Carlos Chávez, Departamento de Economía, Universidad de Concepción, Concepción, Chile,  E-mail: cchavez</w:t>
      </w:r>
      <w:hyperlink r:id="rId2" w:history="1">
        <w:r w:rsidRPr="00CE7FEF">
          <w:rPr>
            <w:rStyle w:val="Hipervnculo"/>
            <w:color w:val="auto"/>
            <w:sz w:val="24"/>
            <w:szCs w:val="24"/>
            <w:u w:val="none"/>
            <w:lang w:val="es-ES"/>
          </w:rPr>
          <w:t>@udec.cl</w:t>
        </w:r>
      </w:hyperlink>
      <w:r w:rsidRPr="00CE7FEF">
        <w:rPr>
          <w:sz w:val="24"/>
          <w:szCs w:val="24"/>
          <w:lang w:val="es-ES"/>
        </w:rPr>
        <w:t xml:space="preserve">.  We gratefully acknowledge financial support provided by </w:t>
      </w:r>
      <w:r w:rsidR="00564828" w:rsidRPr="00CE7FEF">
        <w:rPr>
          <w:sz w:val="24"/>
          <w:szCs w:val="24"/>
          <w:lang w:val="es-ES"/>
        </w:rPr>
        <w:t>Agencia Nacional de Investigación e Innovación (ANI</w:t>
      </w:r>
      <w:r w:rsidRPr="00CE7FEF">
        <w:rPr>
          <w:sz w:val="24"/>
          <w:szCs w:val="24"/>
          <w:lang w:val="es-ES"/>
        </w:rPr>
        <w:t>I</w:t>
      </w:r>
      <w:r w:rsidR="00564828" w:rsidRPr="00CE7FEF">
        <w:rPr>
          <w:sz w:val="24"/>
          <w:szCs w:val="24"/>
          <w:lang w:val="es-ES"/>
        </w:rPr>
        <w:t>)</w:t>
      </w:r>
      <w:r w:rsidRPr="00CE7FEF">
        <w:rPr>
          <w:sz w:val="24"/>
          <w:szCs w:val="24"/>
          <w:lang w:val="es-ES"/>
        </w:rPr>
        <w:t>-</w:t>
      </w:r>
      <w:r w:rsidR="00564828" w:rsidRPr="00CE7FEF">
        <w:rPr>
          <w:sz w:val="24"/>
          <w:szCs w:val="24"/>
          <w:lang w:val="es-ES"/>
        </w:rPr>
        <w:t>Fondo Clemente Estable-</w:t>
      </w:r>
      <w:r w:rsidRPr="00CE7FEF">
        <w:rPr>
          <w:sz w:val="24"/>
          <w:szCs w:val="24"/>
          <w:lang w:val="es-ES"/>
        </w:rPr>
        <w:t>Uruguay, unde</w:t>
      </w:r>
      <w:r w:rsidR="00564828" w:rsidRPr="00CE7FEF">
        <w:rPr>
          <w:sz w:val="24"/>
          <w:szCs w:val="24"/>
          <w:lang w:val="es-ES"/>
        </w:rPr>
        <w:t>r Project ANII FCE 2007-351.</w:t>
      </w:r>
      <w:r w:rsidRPr="00CE7FEF">
        <w:rPr>
          <w:sz w:val="24"/>
          <w:szCs w:val="24"/>
          <w:lang w:val="es-ES"/>
        </w:rPr>
        <w:t xml:space="preserve">    </w:t>
      </w:r>
    </w:p>
  </w:footnote>
  <w:footnote w:id="3">
    <w:p w:rsidR="00283F99" w:rsidRPr="00CE7FEF" w:rsidRDefault="00283F99" w:rsidP="00283F99">
      <w:pPr>
        <w:pStyle w:val="Textonotapie"/>
        <w:rPr>
          <w:sz w:val="24"/>
          <w:szCs w:val="24"/>
        </w:rPr>
      </w:pPr>
      <w:r w:rsidRPr="00CE7FEF">
        <w:rPr>
          <w:rStyle w:val="Refdenotaalpie"/>
          <w:sz w:val="24"/>
          <w:szCs w:val="24"/>
        </w:rPr>
        <w:footnoteRef/>
      </w:r>
      <w:r w:rsidRPr="00CE7FEF">
        <w:rPr>
          <w:sz w:val="24"/>
          <w:szCs w:val="24"/>
        </w:rPr>
        <w:t xml:space="preserve"> Firms’ abatement costs can vary for many reasons, including differences in production and emissions control technologies, input and output prices, and specific factors related to the corresponding industrial sector.</w:t>
      </w:r>
    </w:p>
  </w:footnote>
  <w:footnote w:id="4">
    <w:p w:rsidR="00283F99" w:rsidRPr="00ED4CD3" w:rsidRDefault="00283F99" w:rsidP="00283F99">
      <w:pPr>
        <w:rPr>
          <w:lang w:val="en-US"/>
        </w:rPr>
      </w:pPr>
      <w:r w:rsidRPr="00ED4CD3">
        <w:rPr>
          <w:rStyle w:val="Refdenotaalpie"/>
        </w:rPr>
        <w:footnoteRef/>
      </w:r>
      <w:r w:rsidRPr="00ED4CD3">
        <w:rPr>
          <w:lang w:val="en-US"/>
        </w:rPr>
        <w:t xml:space="preserve"> An alternative penalty function could be a two part penalty, i.e. </w:t>
      </w:r>
      <w:r w:rsidRPr="00ED4CD3">
        <w:rPr>
          <w:i/>
          <w:lang w:val="en-US"/>
        </w:rPr>
        <w:t>F</w:t>
      </w:r>
      <w:r w:rsidRPr="00ED4CD3">
        <w:rPr>
          <w:lang w:val="en-US"/>
        </w:rPr>
        <w:t>(</w:t>
      </w:r>
      <w:r w:rsidRPr="00ED4CD3">
        <w:rPr>
          <w:i/>
          <w:lang w:val="en-US"/>
        </w:rPr>
        <w:t>v</w:t>
      </w:r>
      <w:r w:rsidRPr="00ED4CD3">
        <w:rPr>
          <w:lang w:val="en-US"/>
        </w:rPr>
        <w:t xml:space="preserve">) = </w:t>
      </w:r>
      <w:r w:rsidRPr="00ED4CD3">
        <w:rPr>
          <w:i/>
          <w:lang w:val="en-US"/>
        </w:rPr>
        <w:t>F</w:t>
      </w:r>
      <w:r w:rsidRPr="00ED4CD3">
        <w:rPr>
          <w:i/>
          <w:vertAlign w:val="subscript"/>
          <w:lang w:val="en-US"/>
        </w:rPr>
        <w:t xml:space="preserve">o </w:t>
      </w:r>
      <w:r w:rsidRPr="00ED4CD3">
        <w:rPr>
          <w:lang w:val="en-US"/>
        </w:rPr>
        <w:t xml:space="preserve">+ </w:t>
      </w:r>
      <w:r w:rsidRPr="00ED4CD3">
        <w:rPr>
          <w:i/>
          <w:lang w:val="en-US"/>
        </w:rPr>
        <w:t>f</w:t>
      </w:r>
      <w:r w:rsidRPr="00ED4CD3">
        <w:rPr>
          <w:lang w:val="en-US"/>
        </w:rPr>
        <w:t xml:space="preserve"> (</w:t>
      </w:r>
      <w:r w:rsidRPr="00ED4CD3">
        <w:rPr>
          <w:i/>
          <w:lang w:val="en-US"/>
        </w:rPr>
        <w:t>v</w:t>
      </w:r>
      <w:r w:rsidRPr="00ED4CD3">
        <w:rPr>
          <w:lang w:val="en-US"/>
        </w:rPr>
        <w:t xml:space="preserve">), where </w:t>
      </w:r>
      <w:r w:rsidRPr="00ED4CD3">
        <w:rPr>
          <w:i/>
          <w:lang w:val="en-US"/>
        </w:rPr>
        <w:t>F</w:t>
      </w:r>
      <w:r w:rsidRPr="00ED4CD3">
        <w:rPr>
          <w:i/>
          <w:vertAlign w:val="subscript"/>
          <w:lang w:val="en-US"/>
        </w:rPr>
        <w:t>o</w:t>
      </w:r>
      <w:r w:rsidRPr="00ED4CD3">
        <w:rPr>
          <w:lang w:val="en-US"/>
        </w:rPr>
        <w:t xml:space="preserve"> is a fixed fee.  Malik (1992), </w:t>
      </w:r>
      <w:r w:rsidR="00ED4CD3">
        <w:rPr>
          <w:lang w:val="en-US"/>
        </w:rPr>
        <w:t xml:space="preserve">does not consider such type of penalty structure as well as most of the literature </w:t>
      </w:r>
      <w:r w:rsidR="00ED4CD3" w:rsidRPr="00ED4CD3">
        <w:rPr>
          <w:highlight w:val="yellow"/>
          <w:lang w:val="en-US"/>
        </w:rPr>
        <w:t>(right?)</w:t>
      </w:r>
      <w:r w:rsidR="00ED4CD3">
        <w:rPr>
          <w:lang w:val="en-US"/>
        </w:rPr>
        <w:t xml:space="preserve">. Arguedas (2008) has already </w:t>
      </w:r>
      <w:r w:rsidRPr="00ED4CD3">
        <w:rPr>
          <w:lang w:val="en-US"/>
        </w:rPr>
        <w:t>shown that</w:t>
      </w:r>
      <w:r w:rsidR="00ED4CD3">
        <w:rPr>
          <w:lang w:val="en-US"/>
        </w:rPr>
        <w:t xml:space="preserve">, </w:t>
      </w:r>
      <w:r w:rsidR="00ED4CD3" w:rsidRPr="00ED4CD3">
        <w:rPr>
          <w:highlight w:val="green"/>
          <w:lang w:val="en-US"/>
        </w:rPr>
        <w:t>for the case of one regulated firm,</w:t>
      </w:r>
      <w:r w:rsidRPr="00ED4CD3">
        <w:rPr>
          <w:lang w:val="en-US"/>
        </w:rPr>
        <w:t xml:space="preserve"> is not optimal to have a fixed penalty component when inducing compliance with an emissions standard. </w:t>
      </w:r>
    </w:p>
    <w:p w:rsidR="00283F99" w:rsidRPr="00E24657" w:rsidRDefault="00283F99" w:rsidP="00283F99">
      <w:pPr>
        <w:rPr>
          <w:iCs/>
          <w:sz w:val="20"/>
          <w:szCs w:val="20"/>
          <w:lang w:val="en-US"/>
        </w:rPr>
      </w:pPr>
    </w:p>
    <w:p w:rsidR="00283F99" w:rsidRDefault="00283F99" w:rsidP="00283F99">
      <w:pPr>
        <w:pStyle w:val="Textonotapi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14C3C"/>
    <w:rsid w:val="00012AA0"/>
    <w:rsid w:val="00026009"/>
    <w:rsid w:val="000355BB"/>
    <w:rsid w:val="000C6AEA"/>
    <w:rsid w:val="00162C4B"/>
    <w:rsid w:val="00201563"/>
    <w:rsid w:val="00222F90"/>
    <w:rsid w:val="00283F99"/>
    <w:rsid w:val="00290F48"/>
    <w:rsid w:val="0031294D"/>
    <w:rsid w:val="0035317A"/>
    <w:rsid w:val="0037784B"/>
    <w:rsid w:val="003923E9"/>
    <w:rsid w:val="003B1166"/>
    <w:rsid w:val="003C514D"/>
    <w:rsid w:val="00427E20"/>
    <w:rsid w:val="00444E52"/>
    <w:rsid w:val="0047158B"/>
    <w:rsid w:val="004D41A4"/>
    <w:rsid w:val="00564828"/>
    <w:rsid w:val="005B4676"/>
    <w:rsid w:val="005F40A6"/>
    <w:rsid w:val="00604DD6"/>
    <w:rsid w:val="00616E90"/>
    <w:rsid w:val="00664E1E"/>
    <w:rsid w:val="00666748"/>
    <w:rsid w:val="007030A9"/>
    <w:rsid w:val="00714C3C"/>
    <w:rsid w:val="00767BD4"/>
    <w:rsid w:val="007C2796"/>
    <w:rsid w:val="007E2412"/>
    <w:rsid w:val="0080230A"/>
    <w:rsid w:val="0081051E"/>
    <w:rsid w:val="00814981"/>
    <w:rsid w:val="00835C56"/>
    <w:rsid w:val="00877022"/>
    <w:rsid w:val="00886FA7"/>
    <w:rsid w:val="00890E66"/>
    <w:rsid w:val="008D54BC"/>
    <w:rsid w:val="00911287"/>
    <w:rsid w:val="009142D8"/>
    <w:rsid w:val="0092133C"/>
    <w:rsid w:val="009951ED"/>
    <w:rsid w:val="009A28F1"/>
    <w:rsid w:val="009B09EE"/>
    <w:rsid w:val="009B4A64"/>
    <w:rsid w:val="009D01BA"/>
    <w:rsid w:val="00A573FB"/>
    <w:rsid w:val="00AB37F7"/>
    <w:rsid w:val="00B110C3"/>
    <w:rsid w:val="00BA2CCE"/>
    <w:rsid w:val="00C87D39"/>
    <w:rsid w:val="00CE7FEF"/>
    <w:rsid w:val="00D16A6C"/>
    <w:rsid w:val="00D4737B"/>
    <w:rsid w:val="00D663AC"/>
    <w:rsid w:val="00D82128"/>
    <w:rsid w:val="00D94DD3"/>
    <w:rsid w:val="00DC2DF5"/>
    <w:rsid w:val="00E56B80"/>
    <w:rsid w:val="00E83C95"/>
    <w:rsid w:val="00EC703C"/>
    <w:rsid w:val="00ED4CD3"/>
    <w:rsid w:val="00F44D18"/>
    <w:rsid w:val="00F94B4E"/>
    <w:rsid w:val="00FC03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3C"/>
    <w:pPr>
      <w:spacing w:after="0" w:line="240" w:lineRule="auto"/>
    </w:pPr>
    <w:rPr>
      <w:rFonts w:ascii="Times New Roman" w:eastAsia="Times New Roman" w:hAnsi="Times New Roman" w:cs="Times New Roman"/>
      <w:sz w:val="24"/>
      <w:szCs w:val="24"/>
      <w:lang w:eastAsia="es-ES"/>
    </w:rPr>
  </w:style>
  <w:style w:type="paragraph" w:styleId="Ttulo4">
    <w:name w:val="heading 4"/>
    <w:basedOn w:val="Normal"/>
    <w:next w:val="Normal"/>
    <w:link w:val="Ttulo4Car"/>
    <w:qFormat/>
    <w:rsid w:val="00714C3C"/>
    <w:pPr>
      <w:keepNext/>
      <w:spacing w:before="240" w:after="60"/>
      <w:outlineLvl w:val="3"/>
    </w:pPr>
    <w:rPr>
      <w:b/>
      <w:bCs/>
      <w:sz w:val="28"/>
      <w:szCs w:val="2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714C3C"/>
    <w:rPr>
      <w:rFonts w:ascii="Times New Roman" w:eastAsia="Times New Roman" w:hAnsi="Times New Roman" w:cs="Times New Roman"/>
      <w:b/>
      <w:bCs/>
      <w:sz w:val="28"/>
      <w:szCs w:val="28"/>
      <w:lang w:val="en-GB" w:eastAsia="es-ES"/>
    </w:rPr>
  </w:style>
  <w:style w:type="paragraph" w:styleId="Piedepgina">
    <w:name w:val="footer"/>
    <w:basedOn w:val="Normal"/>
    <w:link w:val="PiedepginaCar"/>
    <w:uiPriority w:val="99"/>
    <w:rsid w:val="00714C3C"/>
    <w:pPr>
      <w:tabs>
        <w:tab w:val="center" w:pos="4252"/>
        <w:tab w:val="right" w:pos="8504"/>
      </w:tabs>
    </w:pPr>
  </w:style>
  <w:style w:type="character" w:customStyle="1" w:styleId="PiedepginaCar">
    <w:name w:val="Pie de página Car"/>
    <w:basedOn w:val="Fuentedeprrafopredeter"/>
    <w:link w:val="Piedepgina"/>
    <w:uiPriority w:val="99"/>
    <w:rsid w:val="00714C3C"/>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rsid w:val="00714C3C"/>
    <w:rPr>
      <w:sz w:val="20"/>
      <w:szCs w:val="20"/>
      <w:lang w:val="en-US" w:eastAsia="en-US"/>
    </w:rPr>
  </w:style>
  <w:style w:type="character" w:customStyle="1" w:styleId="TextonotapieCar">
    <w:name w:val="Texto nota pie Car"/>
    <w:basedOn w:val="Fuentedeprrafopredeter"/>
    <w:link w:val="Textonotapie"/>
    <w:semiHidden/>
    <w:rsid w:val="00714C3C"/>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714C3C"/>
    <w:rPr>
      <w:vertAlign w:val="superscript"/>
    </w:rPr>
  </w:style>
  <w:style w:type="paragraph" w:styleId="Textoindependiente">
    <w:name w:val="Body Text"/>
    <w:basedOn w:val="Normal"/>
    <w:link w:val="TextoindependienteCar"/>
    <w:rsid w:val="00714C3C"/>
    <w:pPr>
      <w:spacing w:after="120"/>
    </w:pPr>
  </w:style>
  <w:style w:type="character" w:customStyle="1" w:styleId="TextoindependienteCar">
    <w:name w:val="Texto independiente Car"/>
    <w:basedOn w:val="Fuentedeprrafopredeter"/>
    <w:link w:val="Textoindependiente"/>
    <w:rsid w:val="00714C3C"/>
    <w:rPr>
      <w:rFonts w:ascii="Times New Roman" w:eastAsia="Times New Roman" w:hAnsi="Times New Roman" w:cs="Times New Roman"/>
      <w:sz w:val="24"/>
      <w:szCs w:val="24"/>
      <w:lang w:eastAsia="es-ES"/>
    </w:rPr>
  </w:style>
  <w:style w:type="paragraph" w:styleId="Ttulo">
    <w:name w:val="Title"/>
    <w:basedOn w:val="Normal"/>
    <w:link w:val="TtuloCar"/>
    <w:qFormat/>
    <w:rsid w:val="00714C3C"/>
    <w:pPr>
      <w:jc w:val="center"/>
    </w:pPr>
    <w:rPr>
      <w:b/>
      <w:bCs/>
      <w:lang w:val="en-GB"/>
    </w:rPr>
  </w:style>
  <w:style w:type="character" w:customStyle="1" w:styleId="TtuloCar">
    <w:name w:val="Título Car"/>
    <w:basedOn w:val="Fuentedeprrafopredeter"/>
    <w:link w:val="Ttulo"/>
    <w:rsid w:val="00714C3C"/>
    <w:rPr>
      <w:rFonts w:ascii="Times New Roman" w:eastAsia="Times New Roman" w:hAnsi="Times New Roman" w:cs="Times New Roman"/>
      <w:b/>
      <w:bCs/>
      <w:sz w:val="24"/>
      <w:szCs w:val="24"/>
      <w:lang w:val="en-GB" w:eastAsia="es-ES"/>
    </w:rPr>
  </w:style>
  <w:style w:type="character" w:styleId="Hipervnculo">
    <w:name w:val="Hyperlink"/>
    <w:basedOn w:val="Fuentedeprrafopredeter"/>
    <w:rsid w:val="00714C3C"/>
    <w:rPr>
      <w:color w:val="0000FF"/>
      <w:u w:val="single"/>
    </w:rPr>
  </w:style>
  <w:style w:type="paragraph" w:styleId="Textodeglobo">
    <w:name w:val="Balloon Text"/>
    <w:basedOn w:val="Normal"/>
    <w:link w:val="TextodegloboCar"/>
    <w:semiHidden/>
    <w:rsid w:val="00714C3C"/>
    <w:rPr>
      <w:rFonts w:ascii="Tahoma" w:hAnsi="Tahoma" w:cs="Tahoma"/>
      <w:sz w:val="16"/>
      <w:szCs w:val="16"/>
    </w:rPr>
  </w:style>
  <w:style w:type="character" w:customStyle="1" w:styleId="TextodegloboCar">
    <w:name w:val="Texto de globo Car"/>
    <w:basedOn w:val="Fuentedeprrafopredeter"/>
    <w:link w:val="Textodeglobo"/>
    <w:semiHidden/>
    <w:rsid w:val="00714C3C"/>
    <w:rPr>
      <w:rFonts w:ascii="Tahoma" w:eastAsia="Times New Roman" w:hAnsi="Tahoma" w:cs="Tahoma"/>
      <w:sz w:val="16"/>
      <w:szCs w:val="16"/>
      <w:lang w:eastAsia="es-ES"/>
    </w:rPr>
  </w:style>
  <w:style w:type="paragraph" w:styleId="Prrafodelista">
    <w:name w:val="List Paragraph"/>
    <w:basedOn w:val="Normal"/>
    <w:uiPriority w:val="34"/>
    <w:qFormat/>
    <w:rsid w:val="00BA2CCE"/>
    <w:pPr>
      <w:ind w:left="720"/>
      <w:contextualSpacing/>
    </w:pPr>
  </w:style>
  <w:style w:type="paragraph" w:styleId="Sangradetextonormal">
    <w:name w:val="Body Text Indent"/>
    <w:basedOn w:val="Normal"/>
    <w:link w:val="SangradetextonormalCar"/>
    <w:uiPriority w:val="99"/>
    <w:semiHidden/>
    <w:unhideWhenUsed/>
    <w:rsid w:val="005B4676"/>
    <w:pPr>
      <w:spacing w:after="120"/>
      <w:ind w:left="283"/>
    </w:pPr>
  </w:style>
  <w:style w:type="character" w:customStyle="1" w:styleId="SangradetextonormalCar">
    <w:name w:val="Sangría de texto normal Car"/>
    <w:basedOn w:val="Fuentedeprrafopredeter"/>
    <w:link w:val="Sangradetextonormal"/>
    <w:uiPriority w:val="99"/>
    <w:semiHidden/>
    <w:rsid w:val="005B4676"/>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A573F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73FB"/>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cchavez@udec.cl" TargetMode="External"/><Relationship Id="rId1" Type="http://schemas.openxmlformats.org/officeDocument/2006/relationships/hyperlink" Target="mailto:marcaffera@um.edu.u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3EC5-F7EF-4EF5-849F-F65FC2DD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2368</Words>
  <Characters>13027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Chavez Rebolledo </dc:creator>
  <cp:keywords/>
  <dc:description/>
  <cp:lastModifiedBy>Caffera, Marcelo</cp:lastModifiedBy>
  <cp:revision>54</cp:revision>
  <dcterms:created xsi:type="dcterms:W3CDTF">2009-06-18T13:10:00Z</dcterms:created>
  <dcterms:modified xsi:type="dcterms:W3CDTF">2009-07-01T21:58:00Z</dcterms:modified>
</cp:coreProperties>
</file>