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4" w:rsidRDefault="00B47AED" w:rsidP="00B47AED">
      <w:pPr>
        <w:jc w:val="center"/>
        <w:rPr>
          <w:b/>
          <w:lang w:val="en-US"/>
        </w:rPr>
      </w:pPr>
      <w:r w:rsidRPr="00B47AED">
        <w:rPr>
          <w:b/>
          <w:lang w:val="en-US"/>
        </w:rPr>
        <w:t xml:space="preserve">Probability Weighting Functions and Ambiguity </w:t>
      </w:r>
      <w:r>
        <w:rPr>
          <w:b/>
          <w:lang w:val="en-US"/>
        </w:rPr>
        <w:t>A</w:t>
      </w:r>
      <w:r w:rsidRPr="00B47AED">
        <w:rPr>
          <w:b/>
          <w:lang w:val="en-US"/>
        </w:rPr>
        <w:t>version: How are they related?</w:t>
      </w:r>
    </w:p>
    <w:p w:rsidR="00F6662C" w:rsidRDefault="00F6662C" w:rsidP="00B47AED">
      <w:pPr>
        <w:jc w:val="center"/>
        <w:rPr>
          <w:b/>
          <w:lang w:val="en-US"/>
        </w:rPr>
      </w:pPr>
    </w:p>
    <w:p w:rsidR="00F6662C" w:rsidRDefault="00F6662C" w:rsidP="00B47AED">
      <w:pPr>
        <w:jc w:val="center"/>
        <w:rPr>
          <w:b/>
          <w:lang w:val="en-US"/>
        </w:rPr>
      </w:pPr>
    </w:p>
    <w:p w:rsidR="00F6662C" w:rsidRDefault="00F6662C" w:rsidP="00F6662C">
      <w:pPr>
        <w:rPr>
          <w:lang w:val="en-US"/>
        </w:rPr>
      </w:pPr>
      <w:r w:rsidRPr="00EB7359">
        <w:rPr>
          <w:lang w:val="en-US"/>
        </w:rPr>
        <w:t xml:space="preserve">People misperceive </w:t>
      </w:r>
      <w:r>
        <w:rPr>
          <w:lang w:val="en-US"/>
        </w:rPr>
        <w:t xml:space="preserve">objective probabilities or have a tendency to subjectively weight them. An example is the result observed in experiments where people overweight “low” probabilities and underweight “large” probabilities. Either could be captured by </w:t>
      </w:r>
      <w:r>
        <w:rPr>
          <w:i/>
          <w:lang w:val="en-US"/>
        </w:rPr>
        <w:t>decision weights.</w:t>
      </w:r>
    </w:p>
    <w:p w:rsidR="00F6662C" w:rsidRDefault="00F6662C" w:rsidP="00F6662C">
      <w:pPr>
        <w:rPr>
          <w:lang w:val="en-US"/>
        </w:rPr>
      </w:pPr>
    </w:p>
    <w:p w:rsidR="008E738B" w:rsidRDefault="008E738B" w:rsidP="008E738B">
      <w:r w:rsidRPr="008E738B">
        <w:rPr>
          <w:lang w:val="en-US"/>
        </w:rPr>
        <w:t xml:space="preserve">Si sacas una bola roja te inspecciono. </w:t>
      </w:r>
      <w:r>
        <w:t xml:space="preserve">Si sacas una negra no. te dice el regulador. Vos no sabes cuantas bolas rojas y negras hay en la urna. Sabes que hay 100 en total. </w:t>
      </w:r>
    </w:p>
    <w:p w:rsidR="008E738B" w:rsidRDefault="008E738B" w:rsidP="008E738B">
      <w:r>
        <w:t>Sabes que existe una probabilidad p que es la probabilidad objetiva de sacar una roja. Es igual, obviamente, al número de rojas sobre el número total de bolas.</w:t>
      </w:r>
    </w:p>
    <w:p w:rsidR="008E738B" w:rsidRDefault="008E738B" w:rsidP="008E738B">
      <w:r>
        <w:t xml:space="preserve">Te formas una subjective probability pi(p) del número de rojas, </w:t>
      </w:r>
      <w:r>
        <w:rPr>
          <w:b/>
        </w:rPr>
        <w:t xml:space="preserve">para cada valor de p </w:t>
      </w:r>
      <w:r>
        <w:t xml:space="preserve">(entre 0 y 100). Al hacerlo, por los procesos sicológicos del riesgo, le asignás más peso a unos valores y menos a otros. Típicamente, le asignas una probabilidad baja a que p sea 0 o muy chiquito y más alta a la probabilidad de que sea “alta”. Sos pesimista. Crees que es muy probable que te inspeccionen. Claro que no estás seguro. Sos ambiguio respecto a tus beielfs pi. Entonces le asignas una probabilidad f(pi(p)) a cada uno de los valores pi que vos crees que puede tomar p. </w:t>
      </w:r>
    </w:p>
    <w:p w:rsidR="0060063A" w:rsidRDefault="0060063A" w:rsidP="008E738B"/>
    <w:p w:rsidR="0060063A" w:rsidRDefault="0060063A" w:rsidP="0060063A">
      <w:pPr>
        <w:jc w:val="center"/>
        <w:rPr>
          <w:b/>
          <w:lang w:val="en-US"/>
        </w:rPr>
      </w:pPr>
      <w:r w:rsidRPr="0060063A">
        <w:rPr>
          <w:b/>
          <w:lang w:val="en-US"/>
        </w:rPr>
        <w:t xml:space="preserve">Is it correct to model ambiguity </w:t>
      </w:r>
      <w:r w:rsidR="00046C87" w:rsidRPr="0060063A">
        <w:rPr>
          <w:b/>
          <w:lang w:val="en-US"/>
        </w:rPr>
        <w:t>aversion</w:t>
      </w:r>
      <w:r w:rsidRPr="0060063A">
        <w:rPr>
          <w:b/>
          <w:lang w:val="en-US"/>
        </w:rPr>
        <w:t xml:space="preserve"> as a mean preserving spread</w:t>
      </w:r>
      <w:r>
        <w:rPr>
          <w:b/>
          <w:lang w:val="en-US"/>
        </w:rPr>
        <w:t>? How is it done in the literature?</w:t>
      </w:r>
    </w:p>
    <w:p w:rsidR="0060063A" w:rsidRDefault="0060063A" w:rsidP="0060063A">
      <w:pPr>
        <w:jc w:val="center"/>
        <w:rPr>
          <w:b/>
          <w:lang w:val="en-US"/>
        </w:rPr>
      </w:pPr>
    </w:p>
    <w:p w:rsidR="0060063A" w:rsidRPr="00561923" w:rsidRDefault="003E6F8B" w:rsidP="0060063A">
      <w:pPr>
        <w:rPr>
          <w:lang w:val="en-US"/>
        </w:rPr>
      </w:pPr>
      <w:r w:rsidRPr="003E6F8B">
        <w:t xml:space="preserve">En la realidad hay x número de bolas rojas en la urna. </w:t>
      </w:r>
      <w:r>
        <w:t>Esto es, el valor de p es x/100. Este es el valor objetivo</w:t>
      </w:r>
      <w:r w:rsidR="00561923">
        <w:t xml:space="preserve">. Pero no lo sabes. Enfrentás uncertainty. Le tenes que asignar probabilidades al valor de x (y p). Las probabilidades que le asignás son f(x) = pi(p). </w:t>
      </w:r>
      <w:r w:rsidR="00561923" w:rsidRPr="00561923">
        <w:rPr>
          <w:lang w:val="en-US"/>
        </w:rPr>
        <w:t>Si no tuvieras uncertainty, sabrías que p=x/100 and you would be in EUT again</w:t>
      </w:r>
      <w:r w:rsidR="00561923">
        <w:rPr>
          <w:lang w:val="en-US"/>
        </w:rPr>
        <w:t>. But because you have uncertainty you construct your subjective probabilities pi(p). If it were only uncertainty, you would calculate your estimated value of x as an expected value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x=0</m:t>
            </m:r>
          </m:sub>
          <m:sup>
            <m:r>
              <w:rPr>
                <w:rFonts w:ascii="Cambria Math" w:hAnsi="Cambria Math"/>
                <w:lang w:val="en-US"/>
              </w:rPr>
              <m:t>100</m:t>
            </m:r>
          </m:sup>
          <m:e>
            <m:r>
              <w:rPr>
                <w:rFonts w:ascii="Cambria Math" w:hAnsi="Cambria Math"/>
                <w:lang w:val="en-US"/>
              </w:rPr>
              <m:t>x×f(x)</m:t>
            </m:r>
          </m:e>
        </m:nary>
      </m:oMath>
      <w:r w:rsidR="006B4A9A">
        <w:rPr>
          <w:rFonts w:eastAsiaTheme="minorEastAsia"/>
          <w:lang w:val="en-US"/>
        </w:rPr>
        <w:t xml:space="preserve">. In other wrds, your would calculate your expected value of </w:t>
      </w:r>
      <w:r w:rsidR="006B4A9A">
        <w:rPr>
          <w:rFonts w:eastAsiaTheme="minorEastAsia"/>
          <w:i/>
          <w:lang w:val="en-US"/>
        </w:rPr>
        <w:t xml:space="preserve">p,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p×π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dp</m:t>
            </m:r>
          </m:e>
        </m:nary>
      </m:oMath>
      <w:r w:rsidR="006B4A9A">
        <w:rPr>
          <w:rFonts w:eastAsiaTheme="minorEastAsia"/>
          <w:i/>
          <w:lang w:val="en-US"/>
        </w:rPr>
        <w:t xml:space="preserve">, </w:t>
      </w:r>
      <w:r w:rsidR="006B4A9A">
        <w:rPr>
          <w:rFonts w:eastAsiaTheme="minorEastAsia"/>
          <w:lang w:val="en-US"/>
        </w:rPr>
        <w:t xml:space="preserve">with </w:t>
      </w:r>
      <m:oMath>
        <m:r>
          <w:rPr>
            <w:rFonts w:ascii="Cambria Math" w:eastAsiaTheme="minorEastAsia" w:hAnsi="Cambria Math"/>
            <w:lang w:val="en-US"/>
          </w:rPr>
          <m:t>π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dF(p)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dp</m:t>
            </m:r>
          </m:den>
        </m:f>
      </m:oMath>
      <w:r w:rsidR="006B4A9A">
        <w:rPr>
          <w:rFonts w:eastAsiaTheme="minorEastAsia"/>
          <w:lang w:val="en-US"/>
        </w:rPr>
        <w:t xml:space="preserve">. So the expected value of </w:t>
      </w:r>
      <w:r w:rsidR="006B4A9A">
        <w:rPr>
          <w:rFonts w:eastAsiaTheme="minorEastAsia"/>
          <w:i/>
          <w:lang w:val="en-US"/>
        </w:rPr>
        <w:t xml:space="preserve">p </w:t>
      </w:r>
      <w:r w:rsidR="006B4A9A">
        <w:rPr>
          <w:rFonts w:eastAsiaTheme="minorEastAsia"/>
          <w:lang w:val="en-US"/>
        </w:rPr>
        <w:t xml:space="preserve">can also be written as </w:t>
      </w:r>
      <w:r w:rsidR="00561923">
        <w:rPr>
          <w:lang w:val="en-US"/>
        </w:rPr>
        <w:t>you’re your estimated probabilities pi(p)</w:t>
      </w:r>
      <w:r w:rsidR="00046C87" w:rsidRPr="00561923">
        <w:rPr>
          <w:lang w:val="en-US"/>
        </w:rPr>
        <w:t>Grant, et al.</w:t>
      </w:r>
    </w:p>
    <w:p w:rsidR="0060063A" w:rsidRPr="00561923" w:rsidRDefault="0060063A" w:rsidP="0060063A">
      <w:pPr>
        <w:jc w:val="center"/>
        <w:rPr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7B423C" w:rsidTr="007B423C">
        <w:tc>
          <w:tcPr>
            <w:tcW w:w="2881" w:type="dxa"/>
          </w:tcPr>
          <w:p w:rsidR="007B423C" w:rsidRDefault="007B423C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2881" w:type="dxa"/>
          </w:tcPr>
          <w:p w:rsidR="007B423C" w:rsidRDefault="007B423C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red ball is drawn</w:t>
            </w:r>
          </w:p>
        </w:tc>
        <w:tc>
          <w:tcPr>
            <w:tcW w:w="2882" w:type="dxa"/>
          </w:tcPr>
          <w:p w:rsidR="007B423C" w:rsidRDefault="007B423C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firm is inspected</w:t>
            </w:r>
          </w:p>
        </w:tc>
      </w:tr>
      <w:tr w:rsidR="007B423C" w:rsidTr="007B423C">
        <w:tc>
          <w:tcPr>
            <w:tcW w:w="2881" w:type="dxa"/>
          </w:tcPr>
          <w:p w:rsidR="007B423C" w:rsidRDefault="007B423C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Probability (objective)</w:t>
            </w:r>
          </w:p>
        </w:tc>
        <w:tc>
          <w:tcPr>
            <w:tcW w:w="2881" w:type="dxa"/>
          </w:tcPr>
          <w:p w:rsidR="007B423C" w:rsidRDefault="007B423C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P=x/100, x=number of red balls in the urn</w:t>
            </w:r>
          </w:p>
        </w:tc>
        <w:tc>
          <w:tcPr>
            <w:tcW w:w="2882" w:type="dxa"/>
          </w:tcPr>
          <w:p w:rsidR="007B423C" w:rsidRDefault="00DB65BD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7B423C" w:rsidTr="007B423C">
        <w:tc>
          <w:tcPr>
            <w:tcW w:w="2881" w:type="dxa"/>
          </w:tcPr>
          <w:p w:rsidR="007B423C" w:rsidRDefault="00DB65BD" w:rsidP="00DB65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Uncertainty </w:t>
            </w:r>
          </w:p>
        </w:tc>
        <w:tc>
          <w:tcPr>
            <w:tcW w:w="2881" w:type="dxa"/>
          </w:tcPr>
          <w:p w:rsidR="007B423C" w:rsidRDefault="00DB65BD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agent does not know x (or p)</w:t>
            </w:r>
          </w:p>
        </w:tc>
        <w:tc>
          <w:tcPr>
            <w:tcW w:w="2882" w:type="dxa"/>
          </w:tcPr>
          <w:p w:rsidR="007B423C" w:rsidRDefault="00DB65BD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firm does not know p</w:t>
            </w:r>
          </w:p>
        </w:tc>
      </w:tr>
      <w:tr w:rsidR="00FD2571" w:rsidTr="0011318D">
        <w:tc>
          <w:tcPr>
            <w:tcW w:w="8644" w:type="dxa"/>
            <w:gridSpan w:val="3"/>
          </w:tcPr>
          <w:p w:rsidR="00FD2571" w:rsidRDefault="00FD2571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Given the uncertainty about p, the agent forms a probability distribution about x; it assigns a (subjective) probability to each possible value of x (or p)</w:t>
            </w:r>
          </w:p>
        </w:tc>
      </w:tr>
      <w:tr w:rsidR="007B423C" w:rsidTr="007B423C">
        <w:tc>
          <w:tcPr>
            <w:tcW w:w="2881" w:type="dxa"/>
          </w:tcPr>
          <w:p w:rsidR="007B423C" w:rsidRDefault="00FD2571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Subjective probability</w:t>
            </w:r>
          </w:p>
        </w:tc>
        <w:tc>
          <w:tcPr>
            <w:tcW w:w="2881" w:type="dxa"/>
          </w:tcPr>
          <w:p w:rsidR="007B423C" w:rsidRDefault="00FD2571" w:rsidP="00FD2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</w:t>
            </w:r>
          </w:p>
        </w:tc>
        <w:tc>
          <w:tcPr>
            <w:tcW w:w="2882" w:type="dxa"/>
          </w:tcPr>
          <w:p w:rsidR="007B423C" w:rsidRDefault="00DA0937" w:rsidP="00DA0937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π(p)</m:t>
                </m:r>
              </m:oMath>
            </m:oMathPara>
          </w:p>
        </w:tc>
      </w:tr>
      <w:tr w:rsidR="00E6623F" w:rsidTr="002372AA">
        <w:tc>
          <w:tcPr>
            <w:tcW w:w="8644" w:type="dxa"/>
            <w:gridSpan w:val="3"/>
          </w:tcPr>
          <w:p w:rsidR="00E6623F" w:rsidRDefault="00E6623F" w:rsidP="00E6623F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The process by which the agent forms its subjective probabilities may include some form of distortion of objective probability. In particular, </w:t>
            </w:r>
            <m:oMath>
              <m:r>
                <w:rPr>
                  <w:rFonts w:ascii="Cambria Math" w:eastAsia="Calibri" w:hAnsi="Cambria Math" w:cs="Times New Roman"/>
                  <w:lang w:val="en-US"/>
                </w:rPr>
                <m:t>π(p)</m:t>
              </m:r>
            </m:oMath>
            <w:r>
              <w:rPr>
                <w:rFonts w:ascii="Calibri" w:eastAsia="Calibri" w:hAnsi="Calibri" w:cs="Times New Roman"/>
                <w:lang w:val="en-US"/>
              </w:rPr>
              <w:t xml:space="preserve"> (or f(x)) may be a probability weighting function of the “usual” inverted-s-shaped form.</w:t>
            </w:r>
          </w:p>
        </w:tc>
      </w:tr>
      <w:tr w:rsidR="007B423C" w:rsidTr="00017C03">
        <w:tc>
          <w:tcPr>
            <w:tcW w:w="2881" w:type="dxa"/>
            <w:vAlign w:val="center"/>
          </w:tcPr>
          <w:p w:rsidR="007B423C" w:rsidRDefault="008C3088" w:rsidP="00017C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Expected value of p</w:t>
            </w:r>
          </w:p>
        </w:tc>
        <w:tc>
          <w:tcPr>
            <w:tcW w:w="2881" w:type="dxa"/>
            <w:vAlign w:val="center"/>
          </w:tcPr>
          <w:p w:rsidR="007B423C" w:rsidRDefault="0082634C" w:rsidP="0082634C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x=0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100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x×f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</m:e>
                </m:nary>
              </m:oMath>
            </m:oMathPara>
          </w:p>
          <w:p w:rsidR="0082634C" w:rsidRDefault="0082634C" w:rsidP="0082634C">
            <w:pPr>
              <w:jc w:val="center"/>
              <w:rPr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100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x×dF(x)</m:t>
                    </m:r>
                  </m:e>
                </m:nary>
              </m:oMath>
            </m:oMathPara>
          </w:p>
        </w:tc>
        <w:tc>
          <w:tcPr>
            <w:tcW w:w="2882" w:type="dxa"/>
            <w:vAlign w:val="center"/>
          </w:tcPr>
          <w:p w:rsidR="00017C03" w:rsidRPr="00017C03" w:rsidRDefault="008C3088" w:rsidP="00017C03">
            <w:pPr>
              <w:jc w:val="center"/>
              <w:rPr>
                <w:rFonts w:eastAsiaTheme="minorEastAsia"/>
                <w:lang w:val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p×π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dp</m:t>
                  </m:r>
                </m:e>
              </m:nary>
            </m:oMath>
            <w:r w:rsidR="00017C03">
              <w:rPr>
                <w:rFonts w:eastAsiaTheme="minorEastAsia"/>
                <w:lang w:val="en-US"/>
              </w:rPr>
              <w:t xml:space="preserve"> , or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p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dp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dp=</m:t>
                  </m:r>
                </m:e>
              </m:nary>
            </m:oMath>
          </w:p>
          <w:p w:rsidR="00017C03" w:rsidRPr="00017C03" w:rsidRDefault="00017C03" w:rsidP="00017C03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p×d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(p)</m:t>
                    </m:r>
                  </m:e>
                </m:nary>
              </m:oMath>
            </m:oMathPara>
          </w:p>
        </w:tc>
      </w:tr>
      <w:tr w:rsidR="000868D2" w:rsidTr="003522EA">
        <w:tc>
          <w:tcPr>
            <w:tcW w:w="8644" w:type="dxa"/>
            <w:gridSpan w:val="3"/>
          </w:tcPr>
          <w:p w:rsidR="000868D2" w:rsidRDefault="000868D2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Now, ambiguity measures the degree of uncertainty. The degree of comfortableness of the agent with its (subjective) probabilities assigned to each possible value of x (or p).</w:t>
            </w:r>
          </w:p>
        </w:tc>
      </w:tr>
      <w:tr w:rsidR="007B423C" w:rsidTr="007B423C">
        <w:tc>
          <w:tcPr>
            <w:tcW w:w="2881" w:type="dxa"/>
          </w:tcPr>
          <w:p w:rsidR="007B423C" w:rsidRDefault="00017C03" w:rsidP="007B4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Ambiguity: capture</w:t>
            </w:r>
            <w:r w:rsidR="0082634C">
              <w:rPr>
                <w:lang w:val="en-US"/>
              </w:rPr>
              <w:t>s de degree of uncertainty</w:t>
            </w:r>
          </w:p>
        </w:tc>
        <w:tc>
          <w:tcPr>
            <w:tcW w:w="2881" w:type="dxa"/>
          </w:tcPr>
          <w:p w:rsidR="007B423C" w:rsidRPr="002232D7" w:rsidRDefault="0082634C" w:rsidP="0082634C">
            <w:pPr>
              <w:jc w:val="center"/>
              <w:rPr>
                <w:i/>
                <w:lang w:val="en-US"/>
              </w:rPr>
            </w:pP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x=0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100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x×dF(x</m:t>
                  </m:r>
                  <m:r>
                    <w:rPr>
                      <w:rFonts w:ascii="Cambria Math" w:hAnsi="Cambria Math"/>
                      <w:lang w:val="en-US"/>
                    </w:rPr>
                    <m:t>,a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nary>
            </m:oMath>
            <w:r w:rsidR="002232D7">
              <w:rPr>
                <w:rFonts w:eastAsiaTheme="minorEastAsia"/>
                <w:lang w:val="en-US"/>
              </w:rPr>
              <w:t xml:space="preserve">, where </w:t>
            </w:r>
            <w:r w:rsidR="002232D7" w:rsidRPr="002232D7">
              <w:rPr>
                <w:rFonts w:eastAsiaTheme="minorEastAsia"/>
                <w:i/>
                <w:lang w:val="en-US"/>
              </w:rPr>
              <w:t>a</w:t>
            </w:r>
            <w:r w:rsidR="002232D7">
              <w:rPr>
                <w:rFonts w:eastAsiaTheme="minorEastAsia"/>
                <w:lang w:val="en-US"/>
              </w:rPr>
              <w:t xml:space="preserve"> </w:t>
            </w:r>
            <w:r w:rsidR="002232D7">
              <w:rPr>
                <w:rFonts w:eastAsiaTheme="minorEastAsia"/>
                <w:i/>
                <w:lang w:val="en-US"/>
              </w:rPr>
              <w:t xml:space="preserve"> </w:t>
            </w:r>
            <w:r w:rsidR="002232D7" w:rsidRPr="002232D7">
              <w:rPr>
                <w:rFonts w:eastAsiaTheme="minorEastAsia"/>
                <w:lang w:val="en-US"/>
              </w:rPr>
              <w:t>is an index of ambiguity</w:t>
            </w:r>
            <w:r w:rsidR="002232D7">
              <w:rPr>
                <w:rFonts w:eastAsiaTheme="minorEastAsia"/>
                <w:lang w:val="en-US"/>
              </w:rPr>
              <w:t>, as in Snow and Warren</w:t>
            </w:r>
          </w:p>
        </w:tc>
        <w:tc>
          <w:tcPr>
            <w:tcW w:w="2882" w:type="dxa"/>
          </w:tcPr>
          <w:p w:rsidR="007B423C" w:rsidRPr="00767570" w:rsidRDefault="00767570" w:rsidP="00767570">
            <w:pPr>
              <w:rPr>
                <w:lang w:val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p×d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p,a</m:t>
                      </m:r>
                    </m:e>
                  </m:d>
                </m:e>
              </m:nary>
            </m:oMath>
            <w:r>
              <w:rPr>
                <w:rFonts w:eastAsiaTheme="minorEastAsia"/>
                <w:lang w:val="en-US"/>
              </w:rPr>
              <w:t xml:space="preserve">, where </w:t>
            </w:r>
            <w:r>
              <w:rPr>
                <w:rFonts w:eastAsiaTheme="minorEastAsia"/>
                <w:i/>
                <w:lang w:val="en-US"/>
              </w:rPr>
              <w:t xml:space="preserve">a </w:t>
            </w:r>
            <w:r>
              <w:rPr>
                <w:rFonts w:eastAsiaTheme="minorEastAsia"/>
                <w:lang w:val="en-US"/>
              </w:rPr>
              <w:t xml:space="preserve"> is an index of ambiguity, as in </w:t>
            </w:r>
            <w:r>
              <w:rPr>
                <w:rFonts w:eastAsiaTheme="minorEastAsia"/>
                <w:lang w:val="en-US"/>
              </w:rPr>
              <w:lastRenderedPageBreak/>
              <w:t>Snow and Warren</w:t>
            </w:r>
          </w:p>
        </w:tc>
      </w:tr>
      <w:tr w:rsidR="00767570" w:rsidTr="007B423C">
        <w:tc>
          <w:tcPr>
            <w:tcW w:w="2881" w:type="dxa"/>
          </w:tcPr>
          <w:p w:rsidR="00767570" w:rsidRPr="00767570" w:rsidRDefault="00767570" w:rsidP="007675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 Ambiguity a mean preserving spread of </w:t>
            </w:r>
            <w:r w:rsidRPr="00767570">
              <w:rPr>
                <w:i/>
                <w:lang w:val="en-US"/>
              </w:rPr>
              <w:t>F</w:t>
            </w:r>
            <w:r>
              <w:rPr>
                <w:i/>
                <w:lang w:val="en-US"/>
              </w:rPr>
              <w:t xml:space="preserve"> relative to the</w:t>
            </w:r>
            <w:r>
              <w:rPr>
                <w:lang w:val="en-US"/>
              </w:rPr>
              <w:t xml:space="preserve"> improper distribution with mass at p = p?</w:t>
            </w:r>
          </w:p>
        </w:tc>
        <w:tc>
          <w:tcPr>
            <w:tcW w:w="2881" w:type="dxa"/>
          </w:tcPr>
          <w:p w:rsidR="00767570" w:rsidRPr="007C3087" w:rsidRDefault="00767570" w:rsidP="0082634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82" w:type="dxa"/>
          </w:tcPr>
          <w:p w:rsidR="00767570" w:rsidRPr="002C3FA0" w:rsidRDefault="00767570" w:rsidP="00767570">
            <w:pPr>
              <w:rPr>
                <w:rFonts w:ascii="Calibri" w:eastAsia="Calibri" w:hAnsi="Calibri" w:cs="Times New Roman"/>
                <w:i/>
                <w:lang w:val="en-US"/>
              </w:rPr>
            </w:pPr>
          </w:p>
        </w:tc>
      </w:tr>
    </w:tbl>
    <w:p w:rsidR="008E738B" w:rsidRPr="00561923" w:rsidRDefault="008E738B" w:rsidP="007B423C">
      <w:pPr>
        <w:jc w:val="center"/>
        <w:rPr>
          <w:lang w:val="en-US"/>
        </w:rPr>
      </w:pPr>
    </w:p>
    <w:sectPr w:rsidR="008E738B" w:rsidRPr="00561923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AED"/>
    <w:rsid w:val="00017C03"/>
    <w:rsid w:val="00046C87"/>
    <w:rsid w:val="000868D2"/>
    <w:rsid w:val="001B7B27"/>
    <w:rsid w:val="002232D7"/>
    <w:rsid w:val="003E6F8B"/>
    <w:rsid w:val="00561923"/>
    <w:rsid w:val="0060063A"/>
    <w:rsid w:val="006B4A9A"/>
    <w:rsid w:val="00767570"/>
    <w:rsid w:val="007B423C"/>
    <w:rsid w:val="0082634C"/>
    <w:rsid w:val="00844324"/>
    <w:rsid w:val="008769D8"/>
    <w:rsid w:val="008C3088"/>
    <w:rsid w:val="008E738B"/>
    <w:rsid w:val="00A03B6A"/>
    <w:rsid w:val="00A23695"/>
    <w:rsid w:val="00A404E0"/>
    <w:rsid w:val="00B47AED"/>
    <w:rsid w:val="00DA0937"/>
    <w:rsid w:val="00DB65BD"/>
    <w:rsid w:val="00E652FD"/>
    <w:rsid w:val="00E6623F"/>
    <w:rsid w:val="00F6662C"/>
    <w:rsid w:val="00F9218F"/>
    <w:rsid w:val="00FD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192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4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18</cp:revision>
  <dcterms:created xsi:type="dcterms:W3CDTF">2008-04-04T21:06:00Z</dcterms:created>
  <dcterms:modified xsi:type="dcterms:W3CDTF">2008-04-08T18:39:00Z</dcterms:modified>
</cp:coreProperties>
</file>