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F8" w:rsidRPr="007507F8" w:rsidRDefault="007507F8" w:rsidP="00C16088">
      <w:pPr>
        <w:spacing w:line="360" w:lineRule="auto"/>
        <w:rPr>
          <w:b/>
          <w:lang w:val="en-US"/>
        </w:rPr>
      </w:pPr>
      <w:r w:rsidRPr="007507F8">
        <w:rPr>
          <w:lang w:val="en-US"/>
        </w:rPr>
        <w:br/>
      </w:r>
      <w:r w:rsidRPr="007507F8">
        <w:rPr>
          <w:b/>
          <w:lang w:val="en-US"/>
        </w:rPr>
        <w:t xml:space="preserve">1. Do you really understand how Snow and Warren model of ambiguity aversion? I don't. In particular I'm confused by the following: We have </w:t>
      </w:r>
      <w:r w:rsidRPr="007507F8">
        <w:rPr>
          <w:b/>
          <w:i/>
          <w:iCs/>
          <w:lang w:val="en-US"/>
        </w:rPr>
        <w:t>p</w:t>
      </w:r>
      <w:r w:rsidRPr="007507F8">
        <w:rPr>
          <w:b/>
          <w:lang w:val="en-US"/>
        </w:rPr>
        <w:t xml:space="preserve"> as the objective probability of an inspection, </w:t>
      </w:r>
      <w:r w:rsidRPr="007507F8">
        <w:rPr>
          <w:b/>
          <w:i/>
          <w:iCs/>
          <w:lang w:val="en-US"/>
        </w:rPr>
        <w:t>pi</w:t>
      </w:r>
      <w:r w:rsidRPr="007507F8">
        <w:rPr>
          <w:b/>
          <w:lang w:val="en-US"/>
        </w:rPr>
        <w:t xml:space="preserve"> as the firm's subjective probability of inspection, and the integral term as the perceived probability of inspection. I don't understand why the firm is uncertain about its </w:t>
      </w:r>
      <w:r w:rsidRPr="007507F8">
        <w:rPr>
          <w:b/>
          <w:i/>
          <w:iCs/>
          <w:lang w:val="en-US"/>
        </w:rPr>
        <w:t>subjective probability of inspection</w:t>
      </w:r>
      <w:r w:rsidRPr="007507F8">
        <w:rPr>
          <w:b/>
          <w:lang w:val="en-US"/>
        </w:rPr>
        <w:t xml:space="preserve">, and why this is different from its </w:t>
      </w:r>
      <w:r w:rsidRPr="007507F8">
        <w:rPr>
          <w:b/>
          <w:i/>
          <w:iCs/>
          <w:lang w:val="en-US"/>
        </w:rPr>
        <w:t>perceived probability of inspection</w:t>
      </w:r>
      <w:r w:rsidRPr="007507F8">
        <w:rPr>
          <w:b/>
          <w:lang w:val="en-US"/>
        </w:rPr>
        <w:t xml:space="preserve">. Do you understand this? </w:t>
      </w:r>
    </w:p>
    <w:p w:rsidR="00A10BB5" w:rsidRPr="004E21E2" w:rsidRDefault="0037083F" w:rsidP="00941D9C">
      <w:pPr>
        <w:spacing w:line="240" w:lineRule="auto"/>
        <w:jc w:val="both"/>
        <w:rPr>
          <w:lang w:val="en-US"/>
        </w:rPr>
      </w:pPr>
      <w:r w:rsidRPr="004E21E2">
        <w:rPr>
          <w:lang w:val="en-US"/>
        </w:rPr>
        <w:t xml:space="preserve">John, I </w:t>
      </w:r>
      <w:r w:rsidR="00AC5437" w:rsidRPr="004E21E2">
        <w:rPr>
          <w:lang w:val="en-US"/>
        </w:rPr>
        <w:t xml:space="preserve">have finished reading the literature on ambiguity that I considered relevant to try to understand what Snow and </w:t>
      </w:r>
      <w:r w:rsidR="000B5644" w:rsidRPr="004E21E2">
        <w:rPr>
          <w:lang w:val="en-US"/>
        </w:rPr>
        <w:t>W</w:t>
      </w:r>
      <w:r w:rsidR="00AC5437" w:rsidRPr="004E21E2">
        <w:rPr>
          <w:lang w:val="en-US"/>
        </w:rPr>
        <w:t>arren wer</w:t>
      </w:r>
      <w:r w:rsidR="00B362DB" w:rsidRPr="004E21E2">
        <w:rPr>
          <w:lang w:val="en-US"/>
        </w:rPr>
        <w:t>e doing</w:t>
      </w:r>
      <w:r w:rsidR="00AC5437" w:rsidRPr="004E21E2">
        <w:rPr>
          <w:lang w:val="en-US"/>
        </w:rPr>
        <w:t>. Snow and Warren’s approach do</w:t>
      </w:r>
      <w:r w:rsidR="00772298" w:rsidRPr="004E21E2">
        <w:rPr>
          <w:lang w:val="en-US"/>
        </w:rPr>
        <w:t>e</w:t>
      </w:r>
      <w:r w:rsidR="00AC5437" w:rsidRPr="004E21E2">
        <w:rPr>
          <w:lang w:val="en-US"/>
        </w:rPr>
        <w:t>s not resemble any of the models of ambiguity that use a second order probability distribution (</w:t>
      </w:r>
      <w:r w:rsidR="00082FF2" w:rsidRPr="004E21E2">
        <w:rPr>
          <w:lang w:val="en-US"/>
        </w:rPr>
        <w:t>surveyed by Camerer and Weber (1992)).</w:t>
      </w:r>
      <w:r w:rsidR="00772298" w:rsidRPr="004E21E2">
        <w:rPr>
          <w:lang w:val="en-US"/>
        </w:rPr>
        <w:t xml:space="preserve"> It does not resemble either a model that incorporates decision weights to the second order probability. </w:t>
      </w:r>
      <w:r w:rsidR="00887F98" w:rsidRPr="004E21E2">
        <w:rPr>
          <w:lang w:val="en-US"/>
        </w:rPr>
        <w:t xml:space="preserve">So my answer, after reading this literature, is the same as the one I gave you </w:t>
      </w:r>
      <w:r w:rsidR="00DF73A9" w:rsidRPr="004E21E2">
        <w:rPr>
          <w:lang w:val="en-US"/>
        </w:rPr>
        <w:t>last time: their modeling is rather ad-hoc</w:t>
      </w:r>
      <w:r w:rsidR="00887F98" w:rsidRPr="004E21E2">
        <w:rPr>
          <w:lang w:val="en-US"/>
        </w:rPr>
        <w:t xml:space="preserve">. </w:t>
      </w:r>
    </w:p>
    <w:p w:rsidR="009649FE" w:rsidRPr="004E21E2" w:rsidRDefault="009649FE" w:rsidP="00941D9C">
      <w:pPr>
        <w:spacing w:line="240" w:lineRule="auto"/>
        <w:jc w:val="both"/>
        <w:rPr>
          <w:rFonts w:eastAsiaTheme="minorEastAsia"/>
          <w:lang w:val="en-US"/>
        </w:rPr>
      </w:pPr>
      <w:r w:rsidRPr="004E21E2">
        <w:rPr>
          <w:lang w:val="en-US"/>
        </w:rPr>
        <w:t>According to the literature, people distort objective probabilities. Typically, they overweight small probabilities and underweight large probabilities. This is captured by “</w:t>
      </w:r>
      <w:r w:rsidRPr="004E21E2">
        <w:rPr>
          <w:i/>
          <w:lang w:val="en-US"/>
        </w:rPr>
        <w:t>probability weighting functions</w:t>
      </w:r>
      <w:r w:rsidRPr="004E21E2">
        <w:rPr>
          <w:lang w:val="en-US"/>
        </w:rPr>
        <w:t>”</w:t>
      </w:r>
      <w:r w:rsidRPr="004E21E2">
        <w:rPr>
          <w:rFonts w:eastAsiaTheme="minorEastAsia"/>
          <w:lang w:val="en-US"/>
        </w:rPr>
        <w:t xml:space="preserve">. </w:t>
      </w:r>
      <w:r w:rsidR="00DB59EA" w:rsidRPr="004E21E2">
        <w:rPr>
          <w:rFonts w:eastAsiaTheme="minorEastAsia"/>
          <w:lang w:val="en-US"/>
        </w:rPr>
        <w:t>As you know, t</w:t>
      </w:r>
      <w:r w:rsidRPr="004E21E2">
        <w:rPr>
          <w:rFonts w:eastAsiaTheme="minorEastAsia"/>
          <w:lang w:val="en-US"/>
        </w:rPr>
        <w:t xml:space="preserve">hese are </w:t>
      </w:r>
      <w:r w:rsidRPr="004E21E2">
        <w:rPr>
          <w:rFonts w:eastAsiaTheme="minorEastAsia"/>
          <w:i/>
          <w:lang w:val="en-US"/>
        </w:rPr>
        <w:t>subjective probabilities</w:t>
      </w:r>
      <w:r w:rsidRPr="004E21E2">
        <w:rPr>
          <w:rFonts w:eastAsiaTheme="minorEastAsia"/>
          <w:lang w:val="en-US"/>
        </w:rPr>
        <w:t xml:space="preserve"> that people construct.</w:t>
      </w:r>
      <w:r w:rsidR="00B3592A" w:rsidRPr="004E21E2">
        <w:rPr>
          <w:rFonts w:eastAsiaTheme="minorEastAsia"/>
          <w:lang w:val="en-US"/>
        </w:rPr>
        <w:t xml:space="preserve"> </w:t>
      </w:r>
      <w:r w:rsidR="00A55AE9" w:rsidRPr="004E21E2">
        <w:rPr>
          <w:lang w:val="en-US"/>
        </w:rPr>
        <w:t>The probability weighting function reflects the “psychophysics of risk”, that is, the way by which the</w:t>
      </w:r>
      <w:r w:rsidR="00A55AE9" w:rsidRPr="004E21E2">
        <w:rPr>
          <w:i/>
          <w:lang w:val="en-US"/>
        </w:rPr>
        <w:t xml:space="preserve"> </w:t>
      </w:r>
      <w:r w:rsidR="00A55AE9" w:rsidRPr="004E21E2">
        <w:rPr>
          <w:lang w:val="en-US"/>
        </w:rPr>
        <w:t xml:space="preserve">individuals subjectively “distort” objective probabilities. The </w:t>
      </w:r>
      <w:r w:rsidR="00A55AE9" w:rsidRPr="004E21E2">
        <w:rPr>
          <w:i/>
          <w:lang w:val="en-US"/>
        </w:rPr>
        <w:t>decision weight</w:t>
      </w:r>
      <w:r w:rsidR="00A55AE9" w:rsidRPr="004E21E2">
        <w:rPr>
          <w:lang w:val="en-US"/>
        </w:rPr>
        <w:t xml:space="preserve"> then determines the way in which the probability weights enter the value function.</w:t>
      </w:r>
      <w:r w:rsidR="00A55AE9" w:rsidRPr="004E21E2">
        <w:rPr>
          <w:rFonts w:eastAsiaTheme="minorEastAsia"/>
          <w:lang w:val="en-US"/>
        </w:rPr>
        <w:t xml:space="preserve"> </w:t>
      </w:r>
      <w:r w:rsidR="00B3592A" w:rsidRPr="004E21E2">
        <w:rPr>
          <w:rFonts w:eastAsiaTheme="minorEastAsia"/>
          <w:lang w:val="en-US"/>
        </w:rPr>
        <w:t xml:space="preserve">(See the summary of </w:t>
      </w:r>
      <w:r w:rsidR="00B3592A" w:rsidRPr="004E21E2">
        <w:rPr>
          <w:lang w:val="en-US"/>
        </w:rPr>
        <w:t>Starmer (2000) I attach</w:t>
      </w:r>
      <w:r w:rsidR="00CE5DE9" w:rsidRPr="004E21E2">
        <w:rPr>
          <w:lang w:val="en-US"/>
        </w:rPr>
        <w:t>)</w:t>
      </w:r>
      <w:r w:rsidR="00B3592A" w:rsidRPr="004E21E2">
        <w:rPr>
          <w:lang w:val="en-US"/>
        </w:rPr>
        <w:t>.</w:t>
      </w:r>
    </w:p>
    <w:p w:rsidR="00670B3B" w:rsidRPr="004E21E2" w:rsidRDefault="00E37177" w:rsidP="00670B3B">
      <w:pPr>
        <w:spacing w:line="240" w:lineRule="auto"/>
        <w:jc w:val="both"/>
        <w:rPr>
          <w:rFonts w:eastAsiaTheme="minorEastAsia"/>
          <w:lang w:val="en-US"/>
        </w:rPr>
      </w:pPr>
      <w:r w:rsidRPr="004E21E2">
        <w:rPr>
          <w:lang w:val="en-US"/>
        </w:rPr>
        <w:t xml:space="preserve">Turning </w:t>
      </w:r>
      <w:r w:rsidRPr="004E21E2">
        <w:rPr>
          <w:rFonts w:eastAsiaTheme="minorEastAsia"/>
          <w:lang w:val="en-US"/>
        </w:rPr>
        <w:t>to</w:t>
      </w:r>
      <w:r w:rsidRPr="004E21E2">
        <w:rPr>
          <w:lang w:val="en-US"/>
        </w:rPr>
        <w:t xml:space="preserve"> ambiguity aversion, according to Camerer and Weber (1992), one of the ways that ambiguity aversion has been modeled is to assume that agents know or assign a (unique) Second-Order Probability (SOP) Distribution </w:t>
      </w:r>
      <w:r w:rsidR="000C7075" w:rsidRPr="004E21E2">
        <w:rPr>
          <w:lang w:val="en-US"/>
        </w:rPr>
        <w:t xml:space="preserve">to </w:t>
      </w:r>
      <w:r w:rsidRPr="004E21E2">
        <w:rPr>
          <w:lang w:val="en-US"/>
        </w:rPr>
        <w:t xml:space="preserve">the possible values of </w:t>
      </w:r>
      <w:r w:rsidRPr="004E21E2">
        <w:rPr>
          <w:i/>
          <w:lang w:val="en-US"/>
        </w:rPr>
        <w:t>p</w:t>
      </w:r>
      <w:r w:rsidRPr="004E21E2">
        <w:rPr>
          <w:lang w:val="en-US"/>
        </w:rPr>
        <w:t xml:space="preserve">, the probability of the event. These theories model ambiguity aversion as “risk aversion” in the SOP distribution. </w:t>
      </w:r>
      <w:r w:rsidR="00D57069" w:rsidRPr="004E21E2">
        <w:rPr>
          <w:lang w:val="en-US"/>
        </w:rPr>
        <w:t xml:space="preserve"> </w:t>
      </w:r>
      <w:r w:rsidR="00D57069" w:rsidRPr="004E21E2">
        <w:rPr>
          <w:rFonts w:eastAsiaTheme="minorEastAsia"/>
          <w:lang w:val="en-US"/>
        </w:rPr>
        <w:t>A short illustration of what this means</w:t>
      </w:r>
      <w:r w:rsidR="004406D7" w:rsidRPr="004E21E2">
        <w:rPr>
          <w:rFonts w:eastAsiaTheme="minorEastAsia"/>
          <w:lang w:val="en-US"/>
        </w:rPr>
        <w:t xml:space="preserve"> follows</w:t>
      </w:r>
      <w:r w:rsidR="00D57069" w:rsidRPr="004E21E2">
        <w:rPr>
          <w:rFonts w:eastAsiaTheme="minorEastAsia"/>
          <w:lang w:val="en-US"/>
        </w:rPr>
        <w:t xml:space="preserve">. </w:t>
      </w:r>
      <w:r w:rsidR="006057B6" w:rsidRPr="004E21E2">
        <w:rPr>
          <w:rFonts w:eastAsiaTheme="minorEastAsia"/>
          <w:lang w:val="en-US"/>
        </w:rPr>
        <w:t xml:space="preserve">Assume, as Snow and Warren, that taxpayers do not know the value of </w:t>
      </w:r>
      <w:r w:rsidR="006057B6" w:rsidRPr="004E21E2">
        <w:rPr>
          <w:rFonts w:eastAsiaTheme="minorEastAsia"/>
          <w:i/>
          <w:lang w:val="en-US"/>
        </w:rPr>
        <w:t>p</w:t>
      </w:r>
      <w:r w:rsidR="006057B6" w:rsidRPr="004E21E2">
        <w:rPr>
          <w:rFonts w:eastAsiaTheme="minorEastAsia"/>
          <w:lang w:val="en-US"/>
        </w:rPr>
        <w:t xml:space="preserve">, but they think it may take the possible values </w:t>
      </w:r>
      <m:oMath>
        <m:r>
          <w:rPr>
            <w:rFonts w:ascii="Cambria Math" w:hAnsi="Cambria Math"/>
            <w:lang w:val="en-US"/>
          </w:rPr>
          <m:t>π(p)</m:t>
        </m:r>
      </m:oMath>
      <w:r w:rsidR="006057B6" w:rsidRPr="004E21E2">
        <w:rPr>
          <w:rFonts w:eastAsiaTheme="minorEastAsia"/>
          <w:lang w:val="en-US"/>
        </w:rPr>
        <w:t xml:space="preserve">. Agents assign probabilities to each of these </w:t>
      </w:r>
      <m:oMath>
        <m:r>
          <w:rPr>
            <w:rFonts w:ascii="Cambria Math" w:hAnsi="Cambria Math"/>
            <w:lang w:val="en-US"/>
          </w:rPr>
          <m:t>π(p)</m:t>
        </m:r>
      </m:oMath>
      <w:r w:rsidR="006057B6" w:rsidRPr="004E21E2">
        <w:rPr>
          <w:rFonts w:eastAsiaTheme="minorEastAsia"/>
          <w:lang w:val="en-US"/>
        </w:rPr>
        <w:t xml:space="preserve"> according to the distribution function </w:t>
      </w:r>
      <m:oMath>
        <m:r>
          <w:rPr>
            <w:rFonts w:ascii="Cambria Math" w:eastAsiaTheme="minorEastAsia" w:hAnsi="Cambria Math"/>
            <w:lang w:val="en-US"/>
          </w:rPr>
          <m:t>F(</m:t>
        </m:r>
        <m:r>
          <w:rPr>
            <w:rFonts w:ascii="Cambria Math" w:hAnsi="Cambria Math"/>
            <w:lang w:val="en-US"/>
          </w:rPr>
          <m:t>π;a,p)</m:t>
        </m:r>
      </m:oMath>
      <w:r w:rsidR="006057B6" w:rsidRPr="004E21E2">
        <w:rPr>
          <w:rFonts w:eastAsiaTheme="minorEastAsia"/>
          <w:lang w:val="en-US"/>
        </w:rPr>
        <w:t xml:space="preserve">. This a subjective probability distribution over the possible values that the agent thinks </w:t>
      </w:r>
      <w:r w:rsidR="006057B6" w:rsidRPr="004E21E2">
        <w:rPr>
          <w:rFonts w:eastAsiaTheme="minorEastAsia"/>
          <w:i/>
          <w:lang w:val="en-US"/>
        </w:rPr>
        <w:t xml:space="preserve">p </w:t>
      </w:r>
      <w:r w:rsidR="006057B6" w:rsidRPr="004E21E2">
        <w:rPr>
          <w:rFonts w:eastAsiaTheme="minorEastAsia"/>
          <w:lang w:val="en-US"/>
        </w:rPr>
        <w:t xml:space="preserve">may take. The parameter </w:t>
      </w:r>
      <w:r w:rsidR="006057B6" w:rsidRPr="004E21E2">
        <w:rPr>
          <w:rFonts w:eastAsiaTheme="minorEastAsia"/>
          <w:i/>
          <w:lang w:val="en-US"/>
        </w:rPr>
        <w:t xml:space="preserve">a </w:t>
      </w:r>
      <w:r w:rsidR="006057B6" w:rsidRPr="004E21E2">
        <w:rPr>
          <w:rFonts w:eastAsiaTheme="minorEastAsia"/>
          <w:lang w:val="en-US"/>
        </w:rPr>
        <w:t xml:space="preserve">captures the </w:t>
      </w:r>
      <w:r w:rsidR="006057B6" w:rsidRPr="004E21E2">
        <w:rPr>
          <w:rFonts w:eastAsiaTheme="minorEastAsia"/>
          <w:i/>
          <w:lang w:val="en-US"/>
        </w:rPr>
        <w:t>ambiguity</w:t>
      </w:r>
      <w:r w:rsidR="006057B6" w:rsidRPr="004E21E2">
        <w:rPr>
          <w:rFonts w:eastAsiaTheme="minorEastAsia"/>
          <w:lang w:val="en-US"/>
        </w:rPr>
        <w:t xml:space="preserve">, </w:t>
      </w:r>
      <w:r w:rsidR="006057B6" w:rsidRPr="004E21E2">
        <w:rPr>
          <w:rFonts w:eastAsiaTheme="minorEastAsia"/>
          <w:b/>
          <w:i/>
          <w:lang w:val="en-US"/>
        </w:rPr>
        <w:t>which is the degree of uncertainty</w:t>
      </w:r>
      <w:r w:rsidR="006057B6" w:rsidRPr="004E21E2">
        <w:rPr>
          <w:rFonts w:eastAsiaTheme="minorEastAsia"/>
          <w:lang w:val="en-US"/>
        </w:rPr>
        <w:t xml:space="preserve"> about the subjective probabilities (this interpretation of ambiguity is clear</w:t>
      </w:r>
      <w:r w:rsidR="009D52B2" w:rsidRPr="004E21E2">
        <w:rPr>
          <w:rFonts w:eastAsiaTheme="minorEastAsia"/>
          <w:lang w:val="en-US"/>
        </w:rPr>
        <w:t xml:space="preserve">ly stated by </w:t>
      </w:r>
      <w:r w:rsidR="006057B6" w:rsidRPr="004E21E2">
        <w:rPr>
          <w:rFonts w:eastAsiaTheme="minorEastAsia"/>
          <w:lang w:val="en-US"/>
        </w:rPr>
        <w:t xml:space="preserve">Ellsberg (1961)). </w:t>
      </w:r>
      <w:r w:rsidR="00D57069" w:rsidRPr="004E21E2">
        <w:rPr>
          <w:rFonts w:eastAsiaTheme="minorEastAsia"/>
          <w:lang w:val="en-US"/>
        </w:rPr>
        <w:t xml:space="preserve">See the table below. Say </w:t>
      </w:r>
      <w:r w:rsidR="008E2418" w:rsidRPr="004E21E2">
        <w:rPr>
          <w:rFonts w:eastAsiaTheme="minorEastAsia"/>
          <w:lang w:val="en-US"/>
        </w:rPr>
        <w:t xml:space="preserve">that </w:t>
      </w:r>
      <w:r w:rsidR="00D57069" w:rsidRPr="004E21E2">
        <w:rPr>
          <w:rFonts w:eastAsiaTheme="minorEastAsia"/>
          <w:lang w:val="en-US"/>
        </w:rPr>
        <w:t>without ambiguity (</w:t>
      </w:r>
      <w:r w:rsidR="00D57069" w:rsidRPr="004E21E2">
        <w:rPr>
          <w:rFonts w:eastAsiaTheme="minorEastAsia"/>
          <w:i/>
          <w:lang w:val="en-US"/>
        </w:rPr>
        <w:t>a = 0</w:t>
      </w:r>
      <w:r w:rsidR="00D57069" w:rsidRPr="004E21E2">
        <w:rPr>
          <w:rFonts w:eastAsiaTheme="minorEastAsia"/>
          <w:lang w:val="en-US"/>
        </w:rPr>
        <w:t xml:space="preserve">) </w:t>
      </w:r>
      <w:r w:rsidR="008E2418" w:rsidRPr="004E21E2">
        <w:rPr>
          <w:rFonts w:eastAsiaTheme="minorEastAsia"/>
          <w:lang w:val="en-US"/>
        </w:rPr>
        <w:t>the taxpayer</w:t>
      </w:r>
      <w:r w:rsidR="00D57069" w:rsidRPr="004E21E2">
        <w:rPr>
          <w:rFonts w:eastAsiaTheme="minorEastAsia"/>
          <w:lang w:val="en-US"/>
        </w:rPr>
        <w:t xml:space="preserve"> think</w:t>
      </w:r>
      <w:r w:rsidR="008E2418" w:rsidRPr="004E21E2">
        <w:rPr>
          <w:rFonts w:eastAsiaTheme="minorEastAsia"/>
          <w:lang w:val="en-US"/>
        </w:rPr>
        <w:t xml:space="preserve"> that</w:t>
      </w:r>
      <w:r w:rsidR="00D57069" w:rsidRPr="004E21E2">
        <w:rPr>
          <w:rFonts w:eastAsiaTheme="minorEastAsia"/>
          <w:lang w:val="en-US"/>
        </w:rPr>
        <w:t xml:space="preserve"> </w:t>
      </w:r>
      <w:r w:rsidR="00D57069" w:rsidRPr="004E21E2">
        <w:rPr>
          <w:rFonts w:eastAsiaTheme="minorEastAsia"/>
          <w:i/>
          <w:lang w:val="en-US"/>
        </w:rPr>
        <w:t xml:space="preserve">p, </w:t>
      </w:r>
      <w:r w:rsidR="00D57069" w:rsidRPr="004E21E2">
        <w:rPr>
          <w:rFonts w:eastAsiaTheme="minorEastAsia"/>
          <w:lang w:val="en-US"/>
        </w:rPr>
        <w:t xml:space="preserve">the probability of an inspection, may take the values ½ or ¾, each with probability ½. So </w:t>
      </w:r>
      <w:r w:rsidR="008E2418" w:rsidRPr="004E21E2">
        <w:rPr>
          <w:rFonts w:eastAsiaTheme="minorEastAsia"/>
          <w:lang w:val="en-US"/>
        </w:rPr>
        <w:t>his</w:t>
      </w:r>
      <w:r w:rsidR="00D57069" w:rsidRPr="004E21E2">
        <w:rPr>
          <w:rFonts w:eastAsiaTheme="minorEastAsia"/>
          <w:lang w:val="en-US"/>
        </w:rPr>
        <w:t xml:space="preserve"> expected probability of being inspected is 0.625. </w:t>
      </w:r>
      <w:r w:rsidR="006057B6" w:rsidRPr="004E21E2">
        <w:rPr>
          <w:rFonts w:eastAsiaTheme="minorEastAsia"/>
          <w:lang w:val="en-US"/>
        </w:rPr>
        <w:t xml:space="preserve">In the absence of ambiguity, there is no uncertainty about the </w:t>
      </w:r>
      <m:oMath>
        <m:r>
          <w:rPr>
            <w:rFonts w:ascii="Cambria Math" w:hAnsi="Cambria Math"/>
            <w:lang w:val="en-US"/>
          </w:rPr>
          <m:t>π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p</m:t>
            </m:r>
          </m:e>
        </m:d>
        <m:r>
          <w:rPr>
            <w:rFonts w:ascii="Cambria Math" w:hAnsi="Cambria Math"/>
            <w:lang w:val="en-US"/>
          </w:rPr>
          <m:t>'s</m:t>
        </m:r>
      </m:oMath>
      <w:r w:rsidR="006057B6" w:rsidRPr="004E21E2">
        <w:rPr>
          <w:rFonts w:eastAsiaTheme="minorEastAsia"/>
          <w:lang w:val="en-US"/>
        </w:rPr>
        <w:t xml:space="preserve">. We are in the case of Subjective Expected Utility Theory of Savage. There is no ambiguity aversion, the subjective utility captures only the attitudes toward risk. (Ellsberg, 1961). </w:t>
      </w:r>
      <w:r w:rsidR="00BD2B75" w:rsidRPr="004E21E2">
        <w:rPr>
          <w:rFonts w:eastAsiaTheme="minorEastAsia"/>
          <w:lang w:val="en-US"/>
        </w:rPr>
        <w:t>Assume now that the taxpayer is now</w:t>
      </w:r>
      <w:r w:rsidR="006057B6" w:rsidRPr="004E21E2">
        <w:rPr>
          <w:rFonts w:eastAsiaTheme="minorEastAsia"/>
          <w:lang w:val="en-US"/>
        </w:rPr>
        <w:t xml:space="preserve"> ambiguous about the possible values that you think </w:t>
      </w:r>
      <w:r w:rsidR="006057B6" w:rsidRPr="004E21E2">
        <w:rPr>
          <w:rFonts w:eastAsiaTheme="minorEastAsia"/>
          <w:i/>
          <w:lang w:val="en-US"/>
        </w:rPr>
        <w:t xml:space="preserve">p </w:t>
      </w:r>
      <w:r w:rsidR="006057B6" w:rsidRPr="004E21E2">
        <w:rPr>
          <w:rFonts w:eastAsiaTheme="minorEastAsia"/>
          <w:lang w:val="en-US"/>
        </w:rPr>
        <w:t>may take</w:t>
      </w:r>
      <w:r w:rsidR="00BD2B75" w:rsidRPr="004E21E2">
        <w:rPr>
          <w:rFonts w:eastAsiaTheme="minorEastAsia"/>
          <w:lang w:val="en-US"/>
        </w:rPr>
        <w:t>, for whatever the reason</w:t>
      </w:r>
      <w:r w:rsidR="006057B6" w:rsidRPr="004E21E2">
        <w:rPr>
          <w:rFonts w:eastAsiaTheme="minorEastAsia"/>
          <w:lang w:val="en-US"/>
        </w:rPr>
        <w:t xml:space="preserve">. </w:t>
      </w:r>
      <w:r w:rsidR="00BD2B75" w:rsidRPr="004E21E2">
        <w:rPr>
          <w:rFonts w:eastAsiaTheme="minorEastAsia"/>
          <w:lang w:val="en-US"/>
        </w:rPr>
        <w:t>He thinks that</w:t>
      </w:r>
      <w:r w:rsidR="00D57069" w:rsidRPr="004E21E2">
        <w:rPr>
          <w:rFonts w:eastAsiaTheme="minorEastAsia"/>
          <w:lang w:val="en-US"/>
        </w:rPr>
        <w:t xml:space="preserve"> the probability of inspection may take the values ¼, ½, ¾ and 1, each with probability ¼. Note that this last distribution is a mean preserving spread from the previous one (in which you assigned zero probabilities to </w:t>
      </w:r>
      <w:r w:rsidR="00D57069" w:rsidRPr="004E21E2">
        <w:rPr>
          <w:rFonts w:eastAsiaTheme="minorEastAsia"/>
          <w:i/>
          <w:lang w:val="en-US"/>
        </w:rPr>
        <w:t xml:space="preserve">p = 1, </w:t>
      </w:r>
      <w:r w:rsidR="00D57069" w:rsidRPr="004E21E2">
        <w:rPr>
          <w:rFonts w:eastAsiaTheme="minorEastAsia"/>
          <w:lang w:val="en-US"/>
        </w:rPr>
        <w:t xml:space="preserve">and to </w:t>
      </w:r>
      <w:r w:rsidR="00D57069" w:rsidRPr="004E21E2">
        <w:rPr>
          <w:rFonts w:eastAsiaTheme="minorEastAsia"/>
          <w:i/>
          <w:lang w:val="en-US"/>
        </w:rPr>
        <w:t>p = ¼</w:t>
      </w:r>
      <w:r w:rsidR="00D57069" w:rsidRPr="004E21E2">
        <w:rPr>
          <w:rFonts w:eastAsiaTheme="minorEastAsia"/>
          <w:lang w:val="en-US"/>
        </w:rPr>
        <w:t>)</w:t>
      </w:r>
      <w:r w:rsidR="00D57069" w:rsidRPr="004E21E2">
        <w:rPr>
          <w:rFonts w:eastAsiaTheme="minorEastAsia"/>
          <w:i/>
          <w:lang w:val="en-US"/>
        </w:rPr>
        <w:t xml:space="preserve">. </w:t>
      </w:r>
      <w:r w:rsidR="00D57069" w:rsidRPr="004E21E2">
        <w:rPr>
          <w:rFonts w:eastAsiaTheme="minorEastAsia"/>
          <w:lang w:val="en-US"/>
        </w:rPr>
        <w:t xml:space="preserve">Even though the expected probability of being inspected does not change, </w:t>
      </w:r>
      <w:r w:rsidR="00FD1B57" w:rsidRPr="004E21E2">
        <w:rPr>
          <w:rFonts w:eastAsiaTheme="minorEastAsia"/>
          <w:lang w:val="en-US"/>
        </w:rPr>
        <w:t xml:space="preserve">if you are ambiguity averse </w:t>
      </w:r>
      <w:r w:rsidR="00D57069" w:rsidRPr="004E21E2">
        <w:rPr>
          <w:rFonts w:eastAsiaTheme="minorEastAsia"/>
          <w:lang w:val="en-US"/>
        </w:rPr>
        <w:t>you are going to prefer the first distribution (</w:t>
      </w:r>
      <w:r w:rsidR="00D57069" w:rsidRPr="004E21E2">
        <w:rPr>
          <w:rFonts w:eastAsiaTheme="minorEastAsia"/>
          <w:i/>
          <w:lang w:val="en-US"/>
        </w:rPr>
        <w:t xml:space="preserve">a </w:t>
      </w:r>
      <w:r w:rsidR="00D57069" w:rsidRPr="004E21E2">
        <w:rPr>
          <w:rFonts w:eastAsiaTheme="minorEastAsia"/>
          <w:lang w:val="en-US"/>
        </w:rPr>
        <w:t>= 0) to the second one (</w:t>
      </w:r>
      <w:r w:rsidR="00D57069" w:rsidRPr="004E21E2">
        <w:rPr>
          <w:rFonts w:eastAsiaTheme="minorEastAsia"/>
          <w:i/>
          <w:lang w:val="en-US"/>
        </w:rPr>
        <w:t xml:space="preserve">a </w:t>
      </w:r>
      <w:r w:rsidR="00D57069" w:rsidRPr="004E21E2">
        <w:rPr>
          <w:rFonts w:eastAsiaTheme="minorEastAsia"/>
          <w:lang w:val="en-US"/>
        </w:rPr>
        <w:t>&gt;0).</w:t>
      </w:r>
      <w:r w:rsidR="00670B3B" w:rsidRPr="004E21E2">
        <w:rPr>
          <w:rFonts w:eastAsiaTheme="minorEastAsia"/>
          <w:lang w:val="en-US"/>
        </w:rPr>
        <w:t xml:space="preserve"> </w:t>
      </w:r>
      <w:r w:rsidR="00670B3B" w:rsidRPr="004E21E2">
        <w:rPr>
          <w:lang w:val="en-US"/>
        </w:rPr>
        <w:t xml:space="preserve">This is why Snow and Warren modeled an increase in the parameter </w:t>
      </w:r>
      <w:r w:rsidR="00670B3B" w:rsidRPr="004E21E2">
        <w:rPr>
          <w:i/>
          <w:lang w:val="en-US"/>
        </w:rPr>
        <w:t>a</w:t>
      </w:r>
      <w:r w:rsidR="00670B3B" w:rsidRPr="004E21E2">
        <w:rPr>
          <w:lang w:val="en-US"/>
        </w:rPr>
        <w:t xml:space="preserve">, the index of ambiguity, as a </w:t>
      </w:r>
      <w:r w:rsidR="00670B3B" w:rsidRPr="004E21E2">
        <w:rPr>
          <w:i/>
          <w:lang w:val="en-US"/>
        </w:rPr>
        <w:t xml:space="preserve">mean-preserving spread </w:t>
      </w:r>
      <w:r w:rsidR="00670B3B" w:rsidRPr="004E21E2">
        <w:rPr>
          <w:lang w:val="en-US"/>
        </w:rPr>
        <w:t xml:space="preserve">of the Second Order Probability distribution </w:t>
      </w:r>
      <m:oMath>
        <m:r>
          <w:rPr>
            <w:rFonts w:ascii="Cambria Math" w:eastAsiaTheme="minorEastAsia" w:hAnsi="Cambria Math"/>
            <w:lang w:val="en-US"/>
          </w:rPr>
          <m:t>F(</m:t>
        </m:r>
        <m:r>
          <w:rPr>
            <w:rFonts w:ascii="Cambria Math" w:hAnsi="Cambria Math"/>
            <w:lang w:val="en-US"/>
          </w:rPr>
          <m:t>π(p);a)</m:t>
        </m:r>
      </m:oMath>
      <w:r w:rsidR="00670B3B" w:rsidRPr="004E21E2">
        <w:rPr>
          <w:rFonts w:eastAsiaTheme="minorEastAsia"/>
          <w:lang w:val="en-US"/>
        </w:rPr>
        <w:t xml:space="preserve">. </w:t>
      </w:r>
    </w:p>
    <w:p w:rsidR="00D57069" w:rsidRPr="004E21E2" w:rsidRDefault="00D57069" w:rsidP="00D57069">
      <w:pPr>
        <w:jc w:val="both"/>
        <w:rPr>
          <w:rFonts w:eastAsiaTheme="minorEastAsia"/>
          <w:lang w:val="en-US"/>
        </w:rPr>
      </w:pPr>
    </w:p>
    <w:p w:rsidR="00D57069" w:rsidRPr="004E21E2" w:rsidRDefault="00D57069" w:rsidP="00D57069">
      <w:pPr>
        <w:jc w:val="both"/>
        <w:rPr>
          <w:rFonts w:eastAsiaTheme="minorEastAsia"/>
          <w:lang w:val="en-US"/>
        </w:rPr>
      </w:pPr>
    </w:p>
    <w:p w:rsidR="00D57069" w:rsidRPr="004E21E2" w:rsidRDefault="00D57069" w:rsidP="00D57069">
      <w:pPr>
        <w:jc w:val="center"/>
        <w:rPr>
          <w:rFonts w:eastAsiaTheme="minorEastAsia"/>
          <w:lang w:val="en-US"/>
        </w:rPr>
      </w:pPr>
      <w:r w:rsidRPr="004E21E2">
        <w:rPr>
          <w:rFonts w:eastAsiaTheme="minorEastAsia"/>
          <w:lang w:val="en-US"/>
        </w:rPr>
        <w:t>Table</w:t>
      </w:r>
    </w:p>
    <w:tbl>
      <w:tblPr>
        <w:tblStyle w:val="Tablaconcuadrcula"/>
        <w:tblW w:w="0" w:type="auto"/>
        <w:jc w:val="center"/>
        <w:tblLook w:val="04A0"/>
      </w:tblPr>
      <w:tblGrid>
        <w:gridCol w:w="2161"/>
        <w:gridCol w:w="2161"/>
        <w:gridCol w:w="2161"/>
      </w:tblGrid>
      <w:tr w:rsidR="00D57069" w:rsidRPr="004E21E2" w:rsidTr="0059429D">
        <w:trPr>
          <w:jc w:val="center"/>
        </w:trPr>
        <w:tc>
          <w:tcPr>
            <w:tcW w:w="2161" w:type="dxa"/>
          </w:tcPr>
          <w:p w:rsidR="00D57069" w:rsidRPr="004E21E2" w:rsidRDefault="00D57069" w:rsidP="0059429D">
            <w:pPr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π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</m:d>
              </m:oMath>
            </m:oMathPara>
          </w:p>
        </w:tc>
        <w:tc>
          <w:tcPr>
            <w:tcW w:w="2161" w:type="dxa"/>
          </w:tcPr>
          <w:p w:rsidR="00D57069" w:rsidRPr="004E21E2" w:rsidRDefault="00D57069" w:rsidP="0059429D">
            <w:pPr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F(π;a=0,p)</m:t>
                </m:r>
              </m:oMath>
            </m:oMathPara>
          </w:p>
        </w:tc>
        <w:tc>
          <w:tcPr>
            <w:tcW w:w="2161" w:type="dxa"/>
          </w:tcPr>
          <w:p w:rsidR="00D57069" w:rsidRPr="004E21E2" w:rsidRDefault="00D57069" w:rsidP="0059429D">
            <w:pPr>
              <w:jc w:val="center"/>
              <w:rPr>
                <w:rFonts w:eastAsiaTheme="minorEastAsia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lang w:val="en-US"/>
                  </w:rPr>
                  <m:t>F(π;a&gt;0,p)</m:t>
                </m:r>
              </m:oMath>
            </m:oMathPara>
          </w:p>
        </w:tc>
      </w:tr>
      <w:tr w:rsidR="00D57069" w:rsidRPr="004E21E2" w:rsidTr="0059429D">
        <w:trPr>
          <w:jc w:val="center"/>
        </w:trPr>
        <w:tc>
          <w:tcPr>
            <w:tcW w:w="2161" w:type="dxa"/>
          </w:tcPr>
          <w:p w:rsidR="00D57069" w:rsidRPr="004E21E2" w:rsidRDefault="00D57069" w:rsidP="0059429D">
            <w:pPr>
              <w:jc w:val="center"/>
              <w:rPr>
                <w:rFonts w:eastAsiaTheme="minorEastAsia"/>
                <w:lang w:val="en-US"/>
              </w:rPr>
            </w:pPr>
            <w:r w:rsidRPr="004E21E2"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2161" w:type="dxa"/>
          </w:tcPr>
          <w:p w:rsidR="00D57069" w:rsidRPr="004E21E2" w:rsidRDefault="00D57069" w:rsidP="0059429D">
            <w:pPr>
              <w:jc w:val="center"/>
              <w:rPr>
                <w:rFonts w:eastAsiaTheme="minorEastAsia"/>
                <w:lang w:val="en-US"/>
              </w:rPr>
            </w:pPr>
            <w:r w:rsidRPr="004E21E2"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2161" w:type="dxa"/>
          </w:tcPr>
          <w:p w:rsidR="00D57069" w:rsidRPr="004E21E2" w:rsidRDefault="00D57069" w:rsidP="0059429D">
            <w:pPr>
              <w:jc w:val="center"/>
              <w:rPr>
                <w:rFonts w:eastAsiaTheme="minorEastAsia"/>
                <w:lang w:val="en-US"/>
              </w:rPr>
            </w:pPr>
            <w:r w:rsidRPr="004E21E2">
              <w:rPr>
                <w:rFonts w:eastAsiaTheme="minorEastAsia"/>
                <w:lang w:val="en-US"/>
              </w:rPr>
              <w:t>¼</w:t>
            </w:r>
          </w:p>
        </w:tc>
      </w:tr>
      <w:tr w:rsidR="00D57069" w:rsidRPr="004E21E2" w:rsidTr="0059429D">
        <w:trPr>
          <w:jc w:val="center"/>
        </w:trPr>
        <w:tc>
          <w:tcPr>
            <w:tcW w:w="2161" w:type="dxa"/>
          </w:tcPr>
          <w:p w:rsidR="00D57069" w:rsidRPr="004E21E2" w:rsidRDefault="00D57069" w:rsidP="0059429D">
            <w:pPr>
              <w:jc w:val="center"/>
              <w:rPr>
                <w:rFonts w:eastAsiaTheme="minorEastAsia"/>
                <w:lang w:val="en-US"/>
              </w:rPr>
            </w:pPr>
            <w:r w:rsidRPr="004E21E2">
              <w:rPr>
                <w:rFonts w:eastAsiaTheme="minorEastAsia"/>
                <w:lang w:val="en-US"/>
              </w:rPr>
              <w:t>¾</w:t>
            </w:r>
          </w:p>
        </w:tc>
        <w:tc>
          <w:tcPr>
            <w:tcW w:w="2161" w:type="dxa"/>
          </w:tcPr>
          <w:p w:rsidR="00D57069" w:rsidRPr="004E21E2" w:rsidRDefault="00D57069" w:rsidP="0059429D">
            <w:pPr>
              <w:jc w:val="center"/>
              <w:rPr>
                <w:rFonts w:eastAsiaTheme="minorEastAsia"/>
                <w:lang w:val="en-US"/>
              </w:rPr>
            </w:pPr>
            <w:r w:rsidRPr="004E21E2">
              <w:rPr>
                <w:rFonts w:eastAsiaTheme="minorEastAsia"/>
                <w:lang w:val="en-US"/>
              </w:rPr>
              <w:t>½</w:t>
            </w:r>
          </w:p>
        </w:tc>
        <w:tc>
          <w:tcPr>
            <w:tcW w:w="2161" w:type="dxa"/>
          </w:tcPr>
          <w:p w:rsidR="00D57069" w:rsidRPr="004E21E2" w:rsidRDefault="00D57069" w:rsidP="0059429D">
            <w:pPr>
              <w:jc w:val="center"/>
              <w:rPr>
                <w:rFonts w:eastAsiaTheme="minorEastAsia"/>
                <w:lang w:val="en-US"/>
              </w:rPr>
            </w:pPr>
            <w:r w:rsidRPr="004E21E2">
              <w:rPr>
                <w:rFonts w:eastAsiaTheme="minorEastAsia"/>
                <w:lang w:val="en-US"/>
              </w:rPr>
              <w:t>¼</w:t>
            </w:r>
          </w:p>
        </w:tc>
      </w:tr>
      <w:tr w:rsidR="00D57069" w:rsidRPr="004E21E2" w:rsidTr="0059429D">
        <w:trPr>
          <w:jc w:val="center"/>
        </w:trPr>
        <w:tc>
          <w:tcPr>
            <w:tcW w:w="2161" w:type="dxa"/>
          </w:tcPr>
          <w:p w:rsidR="00D57069" w:rsidRPr="004E21E2" w:rsidRDefault="00D57069" w:rsidP="0059429D">
            <w:pPr>
              <w:jc w:val="center"/>
              <w:rPr>
                <w:rFonts w:eastAsiaTheme="minorEastAsia"/>
                <w:lang w:val="en-US"/>
              </w:rPr>
            </w:pPr>
            <w:r w:rsidRPr="004E21E2">
              <w:rPr>
                <w:rFonts w:eastAsiaTheme="minorEastAsia"/>
                <w:lang w:val="en-US"/>
              </w:rPr>
              <w:t>½</w:t>
            </w:r>
          </w:p>
        </w:tc>
        <w:tc>
          <w:tcPr>
            <w:tcW w:w="2161" w:type="dxa"/>
          </w:tcPr>
          <w:p w:rsidR="00D57069" w:rsidRPr="004E21E2" w:rsidRDefault="00D57069" w:rsidP="0059429D">
            <w:pPr>
              <w:jc w:val="center"/>
              <w:rPr>
                <w:rFonts w:eastAsiaTheme="minorEastAsia"/>
                <w:lang w:val="en-US"/>
              </w:rPr>
            </w:pPr>
            <w:r w:rsidRPr="004E21E2">
              <w:rPr>
                <w:rFonts w:eastAsiaTheme="minorEastAsia"/>
                <w:lang w:val="en-US"/>
              </w:rPr>
              <w:t>½</w:t>
            </w:r>
          </w:p>
        </w:tc>
        <w:tc>
          <w:tcPr>
            <w:tcW w:w="2161" w:type="dxa"/>
          </w:tcPr>
          <w:p w:rsidR="00D57069" w:rsidRPr="004E21E2" w:rsidRDefault="00D57069" w:rsidP="0059429D">
            <w:pPr>
              <w:jc w:val="center"/>
              <w:rPr>
                <w:rFonts w:eastAsiaTheme="minorEastAsia"/>
                <w:lang w:val="en-US"/>
              </w:rPr>
            </w:pPr>
            <w:r w:rsidRPr="004E21E2">
              <w:rPr>
                <w:rFonts w:eastAsiaTheme="minorEastAsia"/>
                <w:lang w:val="en-US"/>
              </w:rPr>
              <w:t>¼</w:t>
            </w:r>
          </w:p>
        </w:tc>
      </w:tr>
      <w:tr w:rsidR="00D57069" w:rsidRPr="004E21E2" w:rsidTr="0059429D">
        <w:trPr>
          <w:jc w:val="center"/>
        </w:trPr>
        <w:tc>
          <w:tcPr>
            <w:tcW w:w="2161" w:type="dxa"/>
          </w:tcPr>
          <w:p w:rsidR="00D57069" w:rsidRPr="004E21E2" w:rsidRDefault="00D57069" w:rsidP="0059429D">
            <w:pPr>
              <w:jc w:val="center"/>
              <w:rPr>
                <w:rFonts w:eastAsiaTheme="minorEastAsia"/>
                <w:lang w:val="en-US"/>
              </w:rPr>
            </w:pPr>
            <w:r w:rsidRPr="004E21E2">
              <w:rPr>
                <w:rFonts w:eastAsiaTheme="minorEastAsia"/>
                <w:lang w:val="en-US"/>
              </w:rPr>
              <w:t>¼</w:t>
            </w:r>
          </w:p>
        </w:tc>
        <w:tc>
          <w:tcPr>
            <w:tcW w:w="2161" w:type="dxa"/>
          </w:tcPr>
          <w:p w:rsidR="00D57069" w:rsidRPr="004E21E2" w:rsidRDefault="00D57069" w:rsidP="0059429D">
            <w:pPr>
              <w:jc w:val="center"/>
              <w:rPr>
                <w:rFonts w:eastAsiaTheme="minorEastAsia"/>
                <w:lang w:val="en-US"/>
              </w:rPr>
            </w:pPr>
            <w:r w:rsidRPr="004E21E2"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2161" w:type="dxa"/>
          </w:tcPr>
          <w:p w:rsidR="00D57069" w:rsidRPr="004E21E2" w:rsidRDefault="00D57069" w:rsidP="0059429D">
            <w:pPr>
              <w:jc w:val="center"/>
              <w:rPr>
                <w:rFonts w:eastAsiaTheme="minorEastAsia"/>
                <w:lang w:val="en-US"/>
              </w:rPr>
            </w:pPr>
            <w:r w:rsidRPr="004E21E2">
              <w:rPr>
                <w:rFonts w:eastAsiaTheme="minorEastAsia"/>
                <w:lang w:val="en-US"/>
              </w:rPr>
              <w:t>¼</w:t>
            </w:r>
          </w:p>
        </w:tc>
      </w:tr>
    </w:tbl>
    <w:p w:rsidR="00E37177" w:rsidRPr="004E21E2" w:rsidRDefault="00E37177" w:rsidP="00941D9C">
      <w:pPr>
        <w:spacing w:line="240" w:lineRule="auto"/>
        <w:jc w:val="both"/>
        <w:rPr>
          <w:lang w:val="en-US"/>
        </w:rPr>
      </w:pPr>
    </w:p>
    <w:p w:rsidR="003C78BD" w:rsidRPr="004E21E2" w:rsidRDefault="003C78BD" w:rsidP="009649FE">
      <w:pPr>
        <w:jc w:val="both"/>
        <w:rPr>
          <w:rFonts w:eastAsiaTheme="minorEastAsia"/>
          <w:lang w:val="en-US"/>
        </w:rPr>
      </w:pPr>
    </w:p>
    <w:p w:rsidR="00C73740" w:rsidRPr="004E21E2" w:rsidRDefault="005F5FC6" w:rsidP="008F56B8">
      <w:pPr>
        <w:jc w:val="both"/>
        <w:rPr>
          <w:rFonts w:eastAsiaTheme="minorEastAsia"/>
          <w:lang w:val="en-US"/>
        </w:rPr>
      </w:pPr>
      <w:r w:rsidRPr="004E21E2">
        <w:rPr>
          <w:rFonts w:eastAsiaTheme="minorEastAsia"/>
          <w:lang w:val="en-US"/>
        </w:rPr>
        <w:t xml:space="preserve">Now, </w:t>
      </w:r>
      <w:r w:rsidR="003C78BD" w:rsidRPr="004E21E2">
        <w:rPr>
          <w:rFonts w:eastAsiaTheme="minorEastAsia"/>
          <w:lang w:val="en-US"/>
        </w:rPr>
        <w:t>Snow and Warren modeling of ambiguity does not resemble any of the formal models that incorporate ambiguity aversion based on assuming a known second-order probability distribution. (These models are summarized in C</w:t>
      </w:r>
      <w:r w:rsidR="00215462" w:rsidRPr="004E21E2">
        <w:rPr>
          <w:rFonts w:eastAsiaTheme="minorEastAsia"/>
          <w:lang w:val="en-US"/>
        </w:rPr>
        <w:t>amerer and Weber</w:t>
      </w:r>
      <w:r w:rsidRPr="004E21E2">
        <w:rPr>
          <w:rFonts w:eastAsiaTheme="minorEastAsia"/>
          <w:lang w:val="en-US"/>
        </w:rPr>
        <w:t xml:space="preserve"> (1992)</w:t>
      </w:r>
      <w:r w:rsidR="00235649" w:rsidRPr="004E21E2">
        <w:rPr>
          <w:rFonts w:eastAsiaTheme="minorEastAsia"/>
          <w:lang w:val="en-US"/>
        </w:rPr>
        <w:t>. S</w:t>
      </w:r>
      <w:r w:rsidR="003C78BD" w:rsidRPr="004E21E2">
        <w:rPr>
          <w:rFonts w:eastAsiaTheme="minorEastAsia"/>
          <w:lang w:val="en-US"/>
        </w:rPr>
        <w:t xml:space="preserve">ee summary attached). </w:t>
      </w:r>
      <w:r w:rsidR="00C73740" w:rsidRPr="004E21E2">
        <w:rPr>
          <w:rFonts w:eastAsiaTheme="minorEastAsia"/>
          <w:lang w:val="en-US"/>
        </w:rPr>
        <w:t xml:space="preserve">Snow and Warren’s modeling is more similar to Segal (1987) in the sense that they assume </w:t>
      </w:r>
      <w:r w:rsidR="00C73740" w:rsidRPr="004E21E2">
        <w:rPr>
          <w:lang w:val="en-US"/>
        </w:rPr>
        <w:t xml:space="preserve">the agent assigns a subjective probability </w:t>
      </w:r>
      <m:oMath>
        <m:r>
          <w:rPr>
            <w:rFonts w:ascii="Cambria Math" w:eastAsiaTheme="minorEastAsia" w:hAnsi="Cambria Math"/>
            <w:lang w:val="en-US"/>
          </w:rPr>
          <m:t>π(p)</m:t>
        </m:r>
      </m:oMath>
      <w:r w:rsidR="00C73740" w:rsidRPr="004E21E2">
        <w:rPr>
          <w:rFonts w:eastAsiaTheme="minorEastAsia"/>
          <w:lang w:val="en-US"/>
        </w:rPr>
        <w:t xml:space="preserve"> to </w:t>
      </w:r>
      <w:r w:rsidR="00C73740" w:rsidRPr="004E21E2">
        <w:rPr>
          <w:rFonts w:eastAsiaTheme="minorEastAsia"/>
          <w:i/>
          <w:lang w:val="en-US"/>
        </w:rPr>
        <w:t xml:space="preserve">p, </w:t>
      </w:r>
      <w:r w:rsidR="00C73740" w:rsidRPr="004E21E2">
        <w:rPr>
          <w:rFonts w:eastAsiaTheme="minorEastAsia"/>
          <w:lang w:val="en-US"/>
        </w:rPr>
        <w:t xml:space="preserve">but also weights each of these </w:t>
      </w:r>
      <m:oMath>
        <m:r>
          <w:rPr>
            <w:rFonts w:ascii="Cambria Math" w:eastAsiaTheme="minorEastAsia" w:hAnsi="Cambria Math"/>
            <w:lang w:val="en-US"/>
          </w:rPr>
          <m:t>π(p)</m:t>
        </m:r>
      </m:oMath>
      <w:r w:rsidR="00C73740" w:rsidRPr="004E21E2">
        <w:rPr>
          <w:rFonts w:eastAsiaTheme="minorEastAsia"/>
          <w:lang w:val="en-US"/>
        </w:rPr>
        <w:t xml:space="preserve"> in a fashion that guarantees ambiguity aversion. But their weights differ. In Snow and Warren the decision weight is what they call the </w:t>
      </w:r>
      <w:r w:rsidR="00C73740" w:rsidRPr="004E21E2">
        <w:rPr>
          <w:rFonts w:eastAsiaTheme="minorEastAsia"/>
          <w:i/>
          <w:lang w:val="en-US"/>
        </w:rPr>
        <w:t>perceived probability of inspection</w:t>
      </w:r>
      <w:r w:rsidR="00C73740" w:rsidRPr="004E21E2">
        <w:rPr>
          <w:rFonts w:eastAsiaTheme="minorEastAsia"/>
          <w:lang w:val="en-US"/>
        </w:rPr>
        <w:t>, a sort of distorted expected probability.</w:t>
      </w:r>
      <w:r w:rsidR="0098608F" w:rsidRPr="004E21E2">
        <w:rPr>
          <w:rFonts w:eastAsiaTheme="minorEastAsia"/>
          <w:lang w:val="en-US"/>
        </w:rPr>
        <w:t xml:space="preserve"> According to Segal, the decision weight would be different. (See summary of Segal (1987) attached</w:t>
      </w:r>
      <w:r w:rsidR="00E61086" w:rsidRPr="004E21E2">
        <w:rPr>
          <w:rFonts w:eastAsiaTheme="minorEastAsia"/>
          <w:lang w:val="en-US"/>
        </w:rPr>
        <w:t>)</w:t>
      </w:r>
      <w:r w:rsidR="0098608F" w:rsidRPr="004E21E2">
        <w:rPr>
          <w:rFonts w:eastAsiaTheme="minorEastAsia"/>
          <w:lang w:val="en-US"/>
        </w:rPr>
        <w:t>.</w:t>
      </w:r>
    </w:p>
    <w:p w:rsidR="00AC69E8" w:rsidRDefault="00AC69E8" w:rsidP="009649FE">
      <w:pPr>
        <w:jc w:val="both"/>
        <w:rPr>
          <w:rFonts w:eastAsiaTheme="minorEastAsia"/>
          <w:color w:val="FF0000"/>
          <w:lang w:val="en-US"/>
        </w:rPr>
      </w:pPr>
    </w:p>
    <w:p w:rsidR="009649FE" w:rsidRPr="00366DD1" w:rsidRDefault="0098608F" w:rsidP="009649FE">
      <w:pPr>
        <w:jc w:val="both"/>
        <w:rPr>
          <w:rFonts w:eastAsiaTheme="minorEastAsia"/>
          <w:lang w:val="en-US"/>
        </w:rPr>
      </w:pPr>
      <w:r w:rsidRPr="00366DD1">
        <w:rPr>
          <w:rFonts w:eastAsiaTheme="minorEastAsia"/>
          <w:lang w:val="en-US"/>
        </w:rPr>
        <w:t xml:space="preserve">In conclusion, </w:t>
      </w:r>
      <w:r w:rsidR="009649FE" w:rsidRPr="00366DD1">
        <w:rPr>
          <w:rFonts w:eastAsiaTheme="minorEastAsia"/>
          <w:lang w:val="en-US"/>
        </w:rPr>
        <w:t xml:space="preserve">Snow and Warren’s use of a </w:t>
      </w:r>
      <m:oMath>
        <m:r>
          <w:rPr>
            <w:rFonts w:ascii="Cambria Math" w:eastAsiaTheme="minorEastAsia" w:hAnsi="Cambria Math"/>
            <w:lang w:val="en-US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π,p</m:t>
            </m:r>
          </m:e>
        </m:d>
      </m:oMath>
      <w:r w:rsidR="009649FE" w:rsidRPr="00366DD1">
        <w:rPr>
          <w:rFonts w:eastAsiaTheme="minorEastAsia"/>
          <w:lang w:val="en-US"/>
        </w:rPr>
        <w:t xml:space="preserve"> is </w:t>
      </w:r>
      <w:r w:rsidRPr="00366DD1">
        <w:rPr>
          <w:rFonts w:eastAsiaTheme="minorEastAsia"/>
          <w:lang w:val="en-US"/>
        </w:rPr>
        <w:t>“</w:t>
      </w:r>
      <w:r w:rsidR="009649FE" w:rsidRPr="00366DD1">
        <w:rPr>
          <w:rFonts w:eastAsiaTheme="minorEastAsia"/>
          <w:lang w:val="en-US"/>
        </w:rPr>
        <w:t xml:space="preserve"> ad-hoc</w:t>
      </w:r>
      <w:r w:rsidRPr="00366DD1">
        <w:rPr>
          <w:rFonts w:eastAsiaTheme="minorEastAsia"/>
          <w:lang w:val="en-US"/>
        </w:rPr>
        <w:t>”, as far as I can tell</w:t>
      </w:r>
      <w:r w:rsidR="009649FE" w:rsidRPr="00366DD1">
        <w:rPr>
          <w:rFonts w:eastAsiaTheme="minorEastAsia"/>
          <w:lang w:val="en-US"/>
        </w:rPr>
        <w:t>.</w:t>
      </w:r>
      <w:r w:rsidRPr="00366DD1">
        <w:rPr>
          <w:rFonts w:eastAsiaTheme="minorEastAsia"/>
          <w:lang w:val="en-US"/>
        </w:rPr>
        <w:t xml:space="preserve"> It is clear why they use it though. </w:t>
      </w:r>
      <w:r w:rsidR="004E38E6" w:rsidRPr="00366DD1">
        <w:rPr>
          <w:rFonts w:eastAsiaTheme="minorEastAsia"/>
          <w:lang w:val="en-US"/>
        </w:rPr>
        <w:t>W</w:t>
      </w:r>
      <w:r w:rsidR="009649FE" w:rsidRPr="00366DD1">
        <w:rPr>
          <w:rFonts w:eastAsiaTheme="minorEastAsia"/>
          <w:lang w:val="en-US"/>
        </w:rPr>
        <w:t xml:space="preserve">ithout such a </w:t>
      </w:r>
      <w:r w:rsidR="004E38E6" w:rsidRPr="00366DD1">
        <w:rPr>
          <w:rFonts w:eastAsiaTheme="minorEastAsia"/>
          <w:lang w:val="en-US"/>
        </w:rPr>
        <w:t xml:space="preserve">non-linear </w:t>
      </w:r>
      <w:r w:rsidR="009649FE" w:rsidRPr="00366DD1">
        <w:rPr>
          <w:rFonts w:eastAsiaTheme="minorEastAsia"/>
          <w:lang w:val="en-US"/>
        </w:rPr>
        <w:t>function, an increase in ambiguity as a mean preserving spread would have no effect in the total expected costs of the firm because it w</w:t>
      </w:r>
      <w:r w:rsidR="00A95E55" w:rsidRPr="00366DD1">
        <w:rPr>
          <w:rFonts w:eastAsiaTheme="minorEastAsia"/>
          <w:lang w:val="en-US"/>
        </w:rPr>
        <w:t>ould</w:t>
      </w:r>
      <w:r w:rsidR="009649FE" w:rsidRPr="00366DD1">
        <w:rPr>
          <w:rFonts w:eastAsiaTheme="minorEastAsia"/>
          <w:lang w:val="en-US"/>
        </w:rPr>
        <w:t xml:space="preserve"> not change the perceived probability of an audit</w:t>
      </w:r>
      <w:r w:rsidR="00443853" w:rsidRPr="00366DD1">
        <w:rPr>
          <w:rFonts w:eastAsiaTheme="minorEastAsia"/>
          <w:lang w:val="en-US"/>
        </w:rPr>
        <w:t xml:space="preserve">. </w:t>
      </w:r>
      <w:r w:rsidR="00443853" w:rsidRPr="00366DD1">
        <w:rPr>
          <w:rFonts w:eastAsiaTheme="minorEastAsia"/>
          <w:i/>
          <w:lang w:val="en-US"/>
        </w:rPr>
        <w:t>(I</w:t>
      </w:r>
      <w:r w:rsidR="009649FE" w:rsidRPr="00366DD1">
        <w:rPr>
          <w:rFonts w:eastAsiaTheme="minorEastAsia"/>
          <w:i/>
          <w:lang w:val="en-US"/>
        </w:rPr>
        <w:t>f you used a perceived probability of being inspected of the form</w:t>
      </w:r>
      <m:oMath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π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</m:d>
            <m:r>
              <w:rPr>
                <w:rFonts w:ascii="Cambria Math" w:hAnsi="Cambria Math"/>
                <w:lang w:val="en-US"/>
              </w:rPr>
              <m:t>dF(π;a,p)</m:t>
            </m:r>
          </m:e>
        </m:nary>
      </m:oMath>
      <w:r w:rsidR="009649FE" w:rsidRPr="00366DD1">
        <w:rPr>
          <w:rFonts w:eastAsiaTheme="minorEastAsia"/>
          <w:lang w:val="en-US"/>
        </w:rPr>
        <w:t xml:space="preserve">, instead of the one they used </w:t>
      </w:r>
      <m:oMath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π,p</m:t>
                </m:r>
              </m:e>
            </m:d>
            <m:r>
              <w:rPr>
                <w:rFonts w:ascii="Cambria Math" w:hAnsi="Cambria Math"/>
                <w:lang w:val="en-US"/>
              </w:rPr>
              <m:t>dF(π;a,p)</m:t>
            </m:r>
          </m:e>
        </m:nary>
      </m:oMath>
      <w:r w:rsidR="00443853" w:rsidRPr="00366DD1">
        <w:rPr>
          <w:rFonts w:eastAsiaTheme="minorEastAsia"/>
          <w:lang w:val="en-US"/>
        </w:rPr>
        <w:t>)</w:t>
      </w:r>
      <w:r w:rsidR="009649FE" w:rsidRPr="00366DD1">
        <w:rPr>
          <w:rFonts w:eastAsiaTheme="minorEastAsia"/>
          <w:lang w:val="en-US"/>
        </w:rPr>
        <w:t xml:space="preserve">. </w:t>
      </w:r>
    </w:p>
    <w:p w:rsidR="001377D5" w:rsidRDefault="001377D5" w:rsidP="00C16088">
      <w:pPr>
        <w:spacing w:line="360" w:lineRule="auto"/>
        <w:jc w:val="both"/>
        <w:rPr>
          <w:lang w:val="en-US"/>
        </w:rPr>
      </w:pPr>
    </w:p>
    <w:p w:rsidR="00406BC8" w:rsidRDefault="007507F8" w:rsidP="00C16088">
      <w:pPr>
        <w:spacing w:line="360" w:lineRule="auto"/>
        <w:jc w:val="both"/>
        <w:rPr>
          <w:lang w:val="en-US"/>
        </w:rPr>
      </w:pPr>
      <w:r w:rsidRPr="00334C1D">
        <w:rPr>
          <w:b/>
          <w:lang w:val="en-US"/>
        </w:rPr>
        <w:t>2. Carlos and I got criticized for assuming that the regulator's probability of inspection is independent of the firm's choic</w:t>
      </w:r>
      <w:r w:rsidR="000E57B2">
        <w:rPr>
          <w:b/>
          <w:lang w:val="en-US"/>
        </w:rPr>
        <w:t xml:space="preserve">e of emissions and its </w:t>
      </w:r>
      <w:r w:rsidR="00645A2B">
        <w:rPr>
          <w:b/>
          <w:lang w:val="en-US"/>
        </w:rPr>
        <w:t>emiss</w:t>
      </w:r>
      <w:r w:rsidR="00645A2B" w:rsidRPr="00334C1D">
        <w:rPr>
          <w:b/>
          <w:lang w:val="en-US"/>
        </w:rPr>
        <w:t>ions</w:t>
      </w:r>
      <w:r w:rsidRPr="00334C1D">
        <w:rPr>
          <w:b/>
          <w:lang w:val="en-US"/>
        </w:rPr>
        <w:t xml:space="preserve"> report. We then asked whether it is possible for a regulator to reduce expected enforcement costs by conditioning its inspection probability on these variables. This is worth doing here as well. Is it possible to include </w:t>
      </w:r>
      <w:r w:rsidRPr="00334C1D">
        <w:rPr>
          <w:b/>
          <w:i/>
          <w:iCs/>
          <w:lang w:val="en-US"/>
        </w:rPr>
        <w:t>p</w:t>
      </w:r>
      <w:r w:rsidRPr="00334C1D">
        <w:rPr>
          <w:b/>
          <w:lang w:val="en-US"/>
        </w:rPr>
        <w:t>(</w:t>
      </w:r>
      <w:r w:rsidRPr="00334C1D">
        <w:rPr>
          <w:b/>
          <w:i/>
          <w:iCs/>
          <w:lang w:val="en-US"/>
        </w:rPr>
        <w:t>e</w:t>
      </w:r>
      <w:r w:rsidRPr="00334C1D">
        <w:rPr>
          <w:b/>
          <w:lang w:val="en-US"/>
        </w:rPr>
        <w:t xml:space="preserve">, </w:t>
      </w:r>
      <w:r w:rsidRPr="00334C1D">
        <w:rPr>
          <w:b/>
          <w:i/>
          <w:iCs/>
          <w:lang w:val="en-US"/>
        </w:rPr>
        <w:t>r</w:t>
      </w:r>
      <w:r w:rsidRPr="00334C1D">
        <w:rPr>
          <w:b/>
          <w:lang w:val="en-US"/>
        </w:rPr>
        <w:t xml:space="preserve">) in your model? I suppose that then we would have  </w:t>
      </w:r>
      <w:r w:rsidRPr="00334C1D">
        <w:rPr>
          <w:b/>
          <w:i/>
          <w:iCs/>
          <w:lang w:val="en-US"/>
        </w:rPr>
        <w:t>pi</w:t>
      </w:r>
      <w:r w:rsidRPr="00334C1D">
        <w:rPr>
          <w:b/>
          <w:lang w:val="en-US"/>
        </w:rPr>
        <w:t>(</w:t>
      </w:r>
      <w:r w:rsidRPr="00334C1D">
        <w:rPr>
          <w:b/>
          <w:i/>
          <w:iCs/>
          <w:lang w:val="en-US"/>
        </w:rPr>
        <w:t>e</w:t>
      </w:r>
      <w:r w:rsidRPr="00334C1D">
        <w:rPr>
          <w:b/>
          <w:lang w:val="en-US"/>
        </w:rPr>
        <w:t>,</w:t>
      </w:r>
      <w:r w:rsidRPr="00334C1D">
        <w:rPr>
          <w:b/>
          <w:i/>
          <w:iCs/>
          <w:lang w:val="en-US"/>
        </w:rPr>
        <w:t>r</w:t>
      </w:r>
      <w:r w:rsidRPr="00334C1D">
        <w:rPr>
          <w:b/>
          <w:lang w:val="en-US"/>
        </w:rPr>
        <w:t xml:space="preserve">) as well. I'm attaching the last version of our emissions taxes paper, in case you don't have it, where in section 4 we answer the question of whether a regulator can reduce expected enforcement costs by conditioning its inspection probability on a firm's emissions and report and allowing noncompliance.  In that paper we assumed that the regulator was uncertain about the firm's </w:t>
      </w:r>
      <w:r w:rsidRPr="00334C1D">
        <w:rPr>
          <w:b/>
          <w:lang w:val="en-US"/>
        </w:rPr>
        <w:lastRenderedPageBreak/>
        <w:t xml:space="preserve">abatement costs. I don't think we need to assume that for the ambiguity aversion paper. </w:t>
      </w:r>
      <w:r w:rsidRPr="00334C1D">
        <w:rPr>
          <w:b/>
          <w:lang w:val="en-US"/>
        </w:rPr>
        <w:br/>
      </w:r>
    </w:p>
    <w:p w:rsidR="00334C1D" w:rsidRDefault="007507F8" w:rsidP="00C16088">
      <w:pPr>
        <w:spacing w:line="360" w:lineRule="auto"/>
        <w:jc w:val="both"/>
        <w:rPr>
          <w:lang w:val="en-US"/>
        </w:rPr>
      </w:pPr>
      <w:r w:rsidRPr="007507F8">
        <w:rPr>
          <w:lang w:val="en-US"/>
        </w:rPr>
        <w:br/>
      </w:r>
      <w:r w:rsidRPr="00334C1D">
        <w:rPr>
          <w:b/>
          <w:lang w:val="en-US"/>
        </w:rPr>
        <w:t xml:space="preserve">3. What is the perceived probability of inspection (the integral term) when the firm is compliant? Is it equal to </w:t>
      </w:r>
      <w:r w:rsidRPr="00334C1D">
        <w:rPr>
          <w:b/>
          <w:i/>
          <w:iCs/>
          <w:lang w:val="en-US"/>
        </w:rPr>
        <w:t>p</w:t>
      </w:r>
      <w:r w:rsidRPr="00334C1D">
        <w:rPr>
          <w:b/>
          <w:lang w:val="en-US"/>
        </w:rPr>
        <w:t xml:space="preserve"> or is it different? The central question depends on this.</w:t>
      </w:r>
      <w:r w:rsidRPr="007507F8">
        <w:rPr>
          <w:lang w:val="en-US"/>
        </w:rPr>
        <w:br/>
      </w:r>
    </w:p>
    <w:p w:rsidR="009F0BF9" w:rsidRPr="00397017" w:rsidRDefault="007507F8" w:rsidP="00C16088">
      <w:pPr>
        <w:spacing w:line="360" w:lineRule="auto"/>
        <w:jc w:val="both"/>
        <w:rPr>
          <w:b/>
          <w:lang w:val="en-US"/>
        </w:rPr>
      </w:pPr>
      <w:r w:rsidRPr="007507F8">
        <w:rPr>
          <w:lang w:val="en-US"/>
        </w:rPr>
        <w:br/>
      </w:r>
      <w:r w:rsidRPr="009F0BF9">
        <w:rPr>
          <w:b/>
          <w:lang w:val="en-US"/>
        </w:rPr>
        <w:t xml:space="preserve">4. Any chance I can get you to write in Word? I don't use Latek and the word document you sent didn't have the equations. This is not a huge deal (that is why it is number 4), but if you are comfortable writing in Word, then I prefer that we do that. </w:t>
      </w:r>
      <w:r w:rsidRPr="00397017">
        <w:rPr>
          <w:b/>
          <w:lang w:val="en-US"/>
        </w:rPr>
        <w:t>Otherwise I have to rewrite all the equations.</w:t>
      </w:r>
    </w:p>
    <w:p w:rsidR="009F0BF9" w:rsidRDefault="009F0BF9" w:rsidP="00C16088">
      <w:pPr>
        <w:spacing w:line="360" w:lineRule="auto"/>
        <w:jc w:val="both"/>
        <w:rPr>
          <w:lang w:val="en-US"/>
        </w:rPr>
      </w:pPr>
      <w:r w:rsidRPr="009F0BF9">
        <w:rPr>
          <w:lang w:val="en-US"/>
        </w:rPr>
        <w:t xml:space="preserve">Of course </w:t>
      </w:r>
      <w:r>
        <w:rPr>
          <w:lang w:val="en-US"/>
        </w:rPr>
        <w:t>I</w:t>
      </w:r>
      <w:r w:rsidRPr="009F0BF9">
        <w:rPr>
          <w:lang w:val="en-US"/>
        </w:rPr>
        <w:t xml:space="preserve"> have no </w:t>
      </w:r>
      <w:r>
        <w:rPr>
          <w:lang w:val="en-US"/>
        </w:rPr>
        <w:t xml:space="preserve">problem in writing in word. </w:t>
      </w:r>
    </w:p>
    <w:p w:rsidR="006A751A" w:rsidRDefault="006A751A" w:rsidP="00C16088">
      <w:pPr>
        <w:spacing w:line="360" w:lineRule="auto"/>
        <w:jc w:val="both"/>
        <w:rPr>
          <w:lang w:val="en-US"/>
        </w:rPr>
      </w:pPr>
    </w:p>
    <w:p w:rsidR="006A751A" w:rsidRDefault="006A751A" w:rsidP="00C16088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References</w:t>
      </w:r>
    </w:p>
    <w:p w:rsidR="006A751A" w:rsidRDefault="006A751A" w:rsidP="00C16088">
      <w:pPr>
        <w:spacing w:line="360" w:lineRule="auto"/>
        <w:jc w:val="both"/>
        <w:rPr>
          <w:lang w:val="en-US"/>
        </w:rPr>
      </w:pPr>
      <w:r w:rsidRPr="00BD4DDC">
        <w:rPr>
          <w:lang w:val="en-US"/>
        </w:rPr>
        <w:t xml:space="preserve">Camerer and Weber, </w:t>
      </w:r>
      <w:r>
        <w:rPr>
          <w:lang w:val="en-US"/>
        </w:rPr>
        <w:t xml:space="preserve">“Recent Developments in Modeling Preferences: Uncertainty and Ambiguity”, </w:t>
      </w:r>
      <w:r>
        <w:rPr>
          <w:i/>
          <w:lang w:val="en-US"/>
        </w:rPr>
        <w:t xml:space="preserve">Journal of Risk and Uncertainty, </w:t>
      </w:r>
      <w:r>
        <w:rPr>
          <w:lang w:val="en-US"/>
        </w:rPr>
        <w:t>5: 325-370 (1992).</w:t>
      </w:r>
    </w:p>
    <w:p w:rsidR="008D1CFD" w:rsidRDefault="00D371D7" w:rsidP="00C16088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Ellsberg, D. (1951). “Risk, Uncertainty, and the Savage Axioms”, </w:t>
      </w:r>
      <w:r w:rsidR="008D1CFD">
        <w:rPr>
          <w:i/>
          <w:lang w:val="en-US"/>
        </w:rPr>
        <w:t xml:space="preserve">Quarterly Journal of Economics, </w:t>
      </w:r>
      <w:r w:rsidR="008D1CFD" w:rsidRPr="008D1CFD">
        <w:rPr>
          <w:b/>
          <w:lang w:val="en-US"/>
        </w:rPr>
        <w:t>75</w:t>
      </w:r>
      <w:r w:rsidR="008D1CFD">
        <w:rPr>
          <w:b/>
          <w:lang w:val="en-US"/>
        </w:rPr>
        <w:t xml:space="preserve">, </w:t>
      </w:r>
      <w:r w:rsidR="008D1CFD" w:rsidRPr="008D1CFD">
        <w:rPr>
          <w:lang w:val="en-US"/>
        </w:rPr>
        <w:t>643</w:t>
      </w:r>
      <w:r w:rsidR="008D1CFD">
        <w:rPr>
          <w:lang w:val="en-US"/>
        </w:rPr>
        <w:t xml:space="preserve"> – 669.</w:t>
      </w:r>
    </w:p>
    <w:p w:rsidR="00347EF3" w:rsidRDefault="0037125A" w:rsidP="00C16088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Epstein, L. (1999). “A Definition of Uncertainty Aversion”, </w:t>
      </w:r>
      <w:r w:rsidR="00C508F5">
        <w:rPr>
          <w:i/>
          <w:lang w:val="en-US"/>
        </w:rPr>
        <w:t xml:space="preserve">Review of Economic Studies, </w:t>
      </w:r>
      <w:r w:rsidR="00347EF3">
        <w:rPr>
          <w:b/>
          <w:lang w:val="en-US"/>
        </w:rPr>
        <w:t xml:space="preserve">66, </w:t>
      </w:r>
      <w:r w:rsidR="00347EF3" w:rsidRPr="00347EF3">
        <w:rPr>
          <w:lang w:val="en-US"/>
        </w:rPr>
        <w:t>57</w:t>
      </w:r>
      <w:r w:rsidR="00347EF3">
        <w:rPr>
          <w:lang w:val="en-US"/>
        </w:rPr>
        <w:t>9 – 608.</w:t>
      </w:r>
    </w:p>
    <w:p w:rsidR="005C1C58" w:rsidRDefault="00EC7326" w:rsidP="00C16088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Epstein, L. and J. Zhang. (2001). “Subjective Probabilities on Subjectively Unambiguous </w:t>
      </w:r>
      <w:r w:rsidR="005C1C58">
        <w:rPr>
          <w:lang w:val="en-US"/>
        </w:rPr>
        <w:t xml:space="preserve">Events”, </w:t>
      </w:r>
      <w:r w:rsidR="005C1C58">
        <w:rPr>
          <w:i/>
          <w:lang w:val="en-US"/>
        </w:rPr>
        <w:t xml:space="preserve">Econometrica, </w:t>
      </w:r>
      <w:r w:rsidR="005C1C58">
        <w:rPr>
          <w:b/>
          <w:lang w:val="en-US"/>
        </w:rPr>
        <w:t xml:space="preserve">69 </w:t>
      </w:r>
      <w:r w:rsidR="005C1C58">
        <w:rPr>
          <w:lang w:val="en-US"/>
        </w:rPr>
        <w:t>(2) 265 – 306.</w:t>
      </w:r>
    </w:p>
    <w:p w:rsidR="003A4CB8" w:rsidRPr="003A4CB8" w:rsidRDefault="003A4CB8" w:rsidP="00C16088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Grant S. and J. Quiggin. (2005). “Increasing uncertainty: a definition”, </w:t>
      </w:r>
      <w:r>
        <w:rPr>
          <w:i/>
          <w:lang w:val="en-US"/>
        </w:rPr>
        <w:t xml:space="preserve">Mathematical Social Sciences, </w:t>
      </w:r>
      <w:r w:rsidRPr="003A4CB8">
        <w:rPr>
          <w:b/>
          <w:lang w:val="en-US"/>
        </w:rPr>
        <w:t>49</w:t>
      </w:r>
      <w:r>
        <w:rPr>
          <w:b/>
          <w:lang w:val="en-US"/>
        </w:rPr>
        <w:t>,</w:t>
      </w:r>
      <w:r>
        <w:rPr>
          <w:b/>
          <w:i/>
          <w:lang w:val="en-US"/>
        </w:rPr>
        <w:t xml:space="preserve"> </w:t>
      </w:r>
      <w:r w:rsidRPr="003A4CB8">
        <w:rPr>
          <w:lang w:val="en-US"/>
        </w:rPr>
        <w:t>117 – 141.</w:t>
      </w:r>
    </w:p>
    <w:p w:rsidR="00DF41AE" w:rsidRPr="00DF41AE" w:rsidRDefault="00DF41AE" w:rsidP="00C16088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Segal, U. (1987). “The Ellsberg Paradox and Risk Aversion: An Anticipated Utility Approach”, </w:t>
      </w:r>
      <w:r>
        <w:rPr>
          <w:i/>
          <w:lang w:val="en-US"/>
        </w:rPr>
        <w:t xml:space="preserve">International Economic Review, </w:t>
      </w:r>
      <w:r>
        <w:rPr>
          <w:b/>
          <w:lang w:val="en-US"/>
        </w:rPr>
        <w:t xml:space="preserve">28 </w:t>
      </w:r>
      <w:r>
        <w:rPr>
          <w:lang w:val="en-US"/>
        </w:rPr>
        <w:t>(1), 175 – 202.</w:t>
      </w:r>
    </w:p>
    <w:p w:rsidR="00772B9B" w:rsidRPr="009D6A5B" w:rsidRDefault="00772B9B" w:rsidP="00C160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Starmer, C. (2000). “</w:t>
      </w:r>
      <w:r w:rsidRPr="009D6A5B">
        <w:rPr>
          <w:rFonts w:ascii="Times New Roman" w:hAnsi="Times New Roman" w:cs="Times New Roman"/>
          <w:lang w:val="en-US"/>
        </w:rPr>
        <w:t>Developments in Non-Expected Utility Theory: The Hunt for a Descriptive Theory</w:t>
      </w:r>
      <w:r>
        <w:rPr>
          <w:rFonts w:ascii="Times New Roman" w:hAnsi="Times New Roman" w:cs="Times New Roman"/>
          <w:lang w:val="en-US"/>
        </w:rPr>
        <w:t xml:space="preserve"> </w:t>
      </w:r>
      <w:r w:rsidRPr="009D6A5B">
        <w:rPr>
          <w:rFonts w:ascii="Times New Roman" w:hAnsi="Times New Roman" w:cs="Times New Roman"/>
          <w:lang w:val="en-US"/>
        </w:rPr>
        <w:t>of Choice under Risk</w:t>
      </w:r>
      <w:r>
        <w:rPr>
          <w:rFonts w:ascii="Times New Roman" w:hAnsi="Times New Roman" w:cs="Times New Roman"/>
          <w:lang w:val="en-US"/>
        </w:rPr>
        <w:t xml:space="preserve">”, </w:t>
      </w:r>
      <w:r>
        <w:rPr>
          <w:rFonts w:ascii="Times New Roman" w:hAnsi="Times New Roman" w:cs="Times New Roman"/>
          <w:i/>
          <w:lang w:val="en-US"/>
        </w:rPr>
        <w:t xml:space="preserve">Journal of Economic Literature, </w:t>
      </w:r>
      <w:r>
        <w:rPr>
          <w:rFonts w:ascii="Times New Roman" w:hAnsi="Times New Roman" w:cs="Times New Roman"/>
          <w:b/>
          <w:lang w:val="en-US"/>
        </w:rPr>
        <w:t xml:space="preserve">38 </w:t>
      </w:r>
      <w:r>
        <w:rPr>
          <w:rFonts w:ascii="Times New Roman" w:hAnsi="Times New Roman" w:cs="Times New Roman"/>
          <w:lang w:val="en-US"/>
        </w:rPr>
        <w:t>(2), 332-382.</w:t>
      </w:r>
    </w:p>
    <w:p w:rsidR="00E32F83" w:rsidRDefault="00E32F83" w:rsidP="00C16088">
      <w:pPr>
        <w:spacing w:line="360" w:lineRule="auto"/>
        <w:jc w:val="both"/>
        <w:rPr>
          <w:b/>
          <w:lang w:val="en-US"/>
        </w:rPr>
      </w:pPr>
    </w:p>
    <w:sectPr w:rsidR="00E32F83" w:rsidSect="000D10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5C9" w:rsidRDefault="00B515C9" w:rsidP="00162A86">
      <w:pPr>
        <w:spacing w:after="0" w:line="240" w:lineRule="auto"/>
      </w:pPr>
      <w:r>
        <w:separator/>
      </w:r>
    </w:p>
  </w:endnote>
  <w:endnote w:type="continuationSeparator" w:id="1">
    <w:p w:rsidR="00B515C9" w:rsidRDefault="00B515C9" w:rsidP="0016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5C9" w:rsidRDefault="00B515C9" w:rsidP="00162A86">
      <w:pPr>
        <w:spacing w:after="0" w:line="240" w:lineRule="auto"/>
      </w:pPr>
      <w:r>
        <w:separator/>
      </w:r>
    </w:p>
  </w:footnote>
  <w:footnote w:type="continuationSeparator" w:id="1">
    <w:p w:rsidR="00B515C9" w:rsidRDefault="00B515C9" w:rsidP="00162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7F8"/>
    <w:rsid w:val="00003564"/>
    <w:rsid w:val="0001231A"/>
    <w:rsid w:val="00032112"/>
    <w:rsid w:val="00036B8D"/>
    <w:rsid w:val="00040C1D"/>
    <w:rsid w:val="0004240B"/>
    <w:rsid w:val="00042CC3"/>
    <w:rsid w:val="00072468"/>
    <w:rsid w:val="000768F8"/>
    <w:rsid w:val="00082FF2"/>
    <w:rsid w:val="000B5644"/>
    <w:rsid w:val="000C377F"/>
    <w:rsid w:val="000C57B5"/>
    <w:rsid w:val="000C7075"/>
    <w:rsid w:val="000C75ED"/>
    <w:rsid w:val="000D10ED"/>
    <w:rsid w:val="000D5D3B"/>
    <w:rsid w:val="000E57B2"/>
    <w:rsid w:val="000F348F"/>
    <w:rsid w:val="00103497"/>
    <w:rsid w:val="001114DE"/>
    <w:rsid w:val="00120A8B"/>
    <w:rsid w:val="001377D5"/>
    <w:rsid w:val="00161E94"/>
    <w:rsid w:val="00162A86"/>
    <w:rsid w:val="00170A5C"/>
    <w:rsid w:val="001859A4"/>
    <w:rsid w:val="00197850"/>
    <w:rsid w:val="001A7BC1"/>
    <w:rsid w:val="001C0D2C"/>
    <w:rsid w:val="001E68B8"/>
    <w:rsid w:val="00201192"/>
    <w:rsid w:val="00202DD4"/>
    <w:rsid w:val="00210497"/>
    <w:rsid w:val="00215462"/>
    <w:rsid w:val="00224CB1"/>
    <w:rsid w:val="00225B38"/>
    <w:rsid w:val="00235649"/>
    <w:rsid w:val="00245477"/>
    <w:rsid w:val="002454E5"/>
    <w:rsid w:val="00261663"/>
    <w:rsid w:val="0028396C"/>
    <w:rsid w:val="00291A24"/>
    <w:rsid w:val="00291FD6"/>
    <w:rsid w:val="00293678"/>
    <w:rsid w:val="00295EB2"/>
    <w:rsid w:val="002A26CA"/>
    <w:rsid w:val="002B2B8B"/>
    <w:rsid w:val="002C63AB"/>
    <w:rsid w:val="002D2E34"/>
    <w:rsid w:val="002D7D80"/>
    <w:rsid w:val="00310E99"/>
    <w:rsid w:val="00323F6C"/>
    <w:rsid w:val="00326682"/>
    <w:rsid w:val="003266C3"/>
    <w:rsid w:val="00334C1D"/>
    <w:rsid w:val="0033584B"/>
    <w:rsid w:val="0034510B"/>
    <w:rsid w:val="00347EF3"/>
    <w:rsid w:val="003666BA"/>
    <w:rsid w:val="00366DD1"/>
    <w:rsid w:val="0037083F"/>
    <w:rsid w:val="0037125A"/>
    <w:rsid w:val="00397017"/>
    <w:rsid w:val="003A4CB8"/>
    <w:rsid w:val="003C0737"/>
    <w:rsid w:val="003C78BD"/>
    <w:rsid w:val="003E7D7F"/>
    <w:rsid w:val="003F0EF9"/>
    <w:rsid w:val="003F3450"/>
    <w:rsid w:val="004009B5"/>
    <w:rsid w:val="0040594E"/>
    <w:rsid w:val="00406BC8"/>
    <w:rsid w:val="004406D7"/>
    <w:rsid w:val="00443853"/>
    <w:rsid w:val="00443B17"/>
    <w:rsid w:val="00450050"/>
    <w:rsid w:val="0045200B"/>
    <w:rsid w:val="00452B1C"/>
    <w:rsid w:val="004567A2"/>
    <w:rsid w:val="00462B01"/>
    <w:rsid w:val="00462BFC"/>
    <w:rsid w:val="00470562"/>
    <w:rsid w:val="004831DB"/>
    <w:rsid w:val="004A60BD"/>
    <w:rsid w:val="004A6EAE"/>
    <w:rsid w:val="004C0406"/>
    <w:rsid w:val="004C112A"/>
    <w:rsid w:val="004C5895"/>
    <w:rsid w:val="004D7D0F"/>
    <w:rsid w:val="004E21E2"/>
    <w:rsid w:val="004E2374"/>
    <w:rsid w:val="004E38E6"/>
    <w:rsid w:val="00505122"/>
    <w:rsid w:val="005075C9"/>
    <w:rsid w:val="00514350"/>
    <w:rsid w:val="00554AC3"/>
    <w:rsid w:val="0056767F"/>
    <w:rsid w:val="005711DF"/>
    <w:rsid w:val="00577CD4"/>
    <w:rsid w:val="0058175F"/>
    <w:rsid w:val="00583BF5"/>
    <w:rsid w:val="005A3F93"/>
    <w:rsid w:val="005C0393"/>
    <w:rsid w:val="005C1C58"/>
    <w:rsid w:val="005C5BD6"/>
    <w:rsid w:val="005D0D02"/>
    <w:rsid w:val="005D30DF"/>
    <w:rsid w:val="005E61E0"/>
    <w:rsid w:val="005F399E"/>
    <w:rsid w:val="005F5FC6"/>
    <w:rsid w:val="005F6564"/>
    <w:rsid w:val="0060436B"/>
    <w:rsid w:val="006057B6"/>
    <w:rsid w:val="00614CA1"/>
    <w:rsid w:val="00621FB4"/>
    <w:rsid w:val="00634CF6"/>
    <w:rsid w:val="00645A2B"/>
    <w:rsid w:val="00670B3B"/>
    <w:rsid w:val="00693C7C"/>
    <w:rsid w:val="006A751A"/>
    <w:rsid w:val="006B1B70"/>
    <w:rsid w:val="006B370D"/>
    <w:rsid w:val="006D093C"/>
    <w:rsid w:val="006D11F0"/>
    <w:rsid w:val="006D5228"/>
    <w:rsid w:val="006E0AB0"/>
    <w:rsid w:val="006E6259"/>
    <w:rsid w:val="006F3513"/>
    <w:rsid w:val="006F4AC8"/>
    <w:rsid w:val="00703561"/>
    <w:rsid w:val="007250DA"/>
    <w:rsid w:val="007412E5"/>
    <w:rsid w:val="0074488A"/>
    <w:rsid w:val="0074628D"/>
    <w:rsid w:val="007507F8"/>
    <w:rsid w:val="0075658F"/>
    <w:rsid w:val="00767630"/>
    <w:rsid w:val="00772298"/>
    <w:rsid w:val="00772B9B"/>
    <w:rsid w:val="007768E2"/>
    <w:rsid w:val="00785832"/>
    <w:rsid w:val="007B3185"/>
    <w:rsid w:val="007C5AC0"/>
    <w:rsid w:val="007C613D"/>
    <w:rsid w:val="007D624F"/>
    <w:rsid w:val="007E1C7A"/>
    <w:rsid w:val="007E510F"/>
    <w:rsid w:val="007E6FB3"/>
    <w:rsid w:val="007F16BE"/>
    <w:rsid w:val="007F7086"/>
    <w:rsid w:val="00803D68"/>
    <w:rsid w:val="0084118B"/>
    <w:rsid w:val="0085404A"/>
    <w:rsid w:val="008605EA"/>
    <w:rsid w:val="00873FCA"/>
    <w:rsid w:val="00887F98"/>
    <w:rsid w:val="00897D77"/>
    <w:rsid w:val="008A34CF"/>
    <w:rsid w:val="008A53D4"/>
    <w:rsid w:val="008B70DE"/>
    <w:rsid w:val="008D0313"/>
    <w:rsid w:val="008D1CFD"/>
    <w:rsid w:val="008D2085"/>
    <w:rsid w:val="008E2418"/>
    <w:rsid w:val="008E51FF"/>
    <w:rsid w:val="008F56B8"/>
    <w:rsid w:val="009043DE"/>
    <w:rsid w:val="009327E5"/>
    <w:rsid w:val="009401B8"/>
    <w:rsid w:val="00941D9C"/>
    <w:rsid w:val="009649FE"/>
    <w:rsid w:val="0098608F"/>
    <w:rsid w:val="00987BD5"/>
    <w:rsid w:val="009B23D3"/>
    <w:rsid w:val="009D33D7"/>
    <w:rsid w:val="009D4B12"/>
    <w:rsid w:val="009D52B2"/>
    <w:rsid w:val="009D7534"/>
    <w:rsid w:val="009D79BF"/>
    <w:rsid w:val="009E0E5D"/>
    <w:rsid w:val="009F0BF9"/>
    <w:rsid w:val="009F1211"/>
    <w:rsid w:val="009F3068"/>
    <w:rsid w:val="009F3079"/>
    <w:rsid w:val="009F6602"/>
    <w:rsid w:val="00A00E1E"/>
    <w:rsid w:val="00A03AD8"/>
    <w:rsid w:val="00A10331"/>
    <w:rsid w:val="00A10BB5"/>
    <w:rsid w:val="00A43AE8"/>
    <w:rsid w:val="00A43B45"/>
    <w:rsid w:val="00A44EEA"/>
    <w:rsid w:val="00A530D4"/>
    <w:rsid w:val="00A55AE9"/>
    <w:rsid w:val="00A601DC"/>
    <w:rsid w:val="00A708DF"/>
    <w:rsid w:val="00A7562B"/>
    <w:rsid w:val="00A7651E"/>
    <w:rsid w:val="00A922C9"/>
    <w:rsid w:val="00A95E55"/>
    <w:rsid w:val="00AA27C9"/>
    <w:rsid w:val="00AB2353"/>
    <w:rsid w:val="00AB7268"/>
    <w:rsid w:val="00AC5437"/>
    <w:rsid w:val="00AC69E8"/>
    <w:rsid w:val="00AD1E16"/>
    <w:rsid w:val="00AF1011"/>
    <w:rsid w:val="00AF46B1"/>
    <w:rsid w:val="00B17154"/>
    <w:rsid w:val="00B30314"/>
    <w:rsid w:val="00B3592A"/>
    <w:rsid w:val="00B362DB"/>
    <w:rsid w:val="00B44C20"/>
    <w:rsid w:val="00B515C9"/>
    <w:rsid w:val="00B60A55"/>
    <w:rsid w:val="00B7003C"/>
    <w:rsid w:val="00B7017C"/>
    <w:rsid w:val="00B7601D"/>
    <w:rsid w:val="00B76AB4"/>
    <w:rsid w:val="00B840C9"/>
    <w:rsid w:val="00BA1EF1"/>
    <w:rsid w:val="00BB1FB7"/>
    <w:rsid w:val="00BB44B7"/>
    <w:rsid w:val="00BD1F87"/>
    <w:rsid w:val="00BD2B75"/>
    <w:rsid w:val="00BE69BF"/>
    <w:rsid w:val="00BF6595"/>
    <w:rsid w:val="00C06D1D"/>
    <w:rsid w:val="00C107B5"/>
    <w:rsid w:val="00C12D73"/>
    <w:rsid w:val="00C13B12"/>
    <w:rsid w:val="00C14BF9"/>
    <w:rsid w:val="00C16088"/>
    <w:rsid w:val="00C233C6"/>
    <w:rsid w:val="00C2454D"/>
    <w:rsid w:val="00C257B1"/>
    <w:rsid w:val="00C32939"/>
    <w:rsid w:val="00C465AD"/>
    <w:rsid w:val="00C508F5"/>
    <w:rsid w:val="00C735CE"/>
    <w:rsid w:val="00C73740"/>
    <w:rsid w:val="00C74CB9"/>
    <w:rsid w:val="00C76784"/>
    <w:rsid w:val="00C9102D"/>
    <w:rsid w:val="00CA2206"/>
    <w:rsid w:val="00CC4E40"/>
    <w:rsid w:val="00CC53B4"/>
    <w:rsid w:val="00CE5DE9"/>
    <w:rsid w:val="00CF31BF"/>
    <w:rsid w:val="00D01B47"/>
    <w:rsid w:val="00D156D1"/>
    <w:rsid w:val="00D371D7"/>
    <w:rsid w:val="00D5505A"/>
    <w:rsid w:val="00D57069"/>
    <w:rsid w:val="00D7767D"/>
    <w:rsid w:val="00D800CA"/>
    <w:rsid w:val="00D907AE"/>
    <w:rsid w:val="00DB59EA"/>
    <w:rsid w:val="00DC3D14"/>
    <w:rsid w:val="00DC69BB"/>
    <w:rsid w:val="00DD5244"/>
    <w:rsid w:val="00DE6748"/>
    <w:rsid w:val="00DF41AE"/>
    <w:rsid w:val="00DF73A9"/>
    <w:rsid w:val="00E1171E"/>
    <w:rsid w:val="00E30274"/>
    <w:rsid w:val="00E32F83"/>
    <w:rsid w:val="00E33DBF"/>
    <w:rsid w:val="00E37177"/>
    <w:rsid w:val="00E61086"/>
    <w:rsid w:val="00E64286"/>
    <w:rsid w:val="00E75276"/>
    <w:rsid w:val="00E97E7D"/>
    <w:rsid w:val="00EA5FBF"/>
    <w:rsid w:val="00EC7326"/>
    <w:rsid w:val="00EE059E"/>
    <w:rsid w:val="00EE645E"/>
    <w:rsid w:val="00F0122E"/>
    <w:rsid w:val="00F02554"/>
    <w:rsid w:val="00F05F35"/>
    <w:rsid w:val="00F2753E"/>
    <w:rsid w:val="00F27B06"/>
    <w:rsid w:val="00F33536"/>
    <w:rsid w:val="00F33D80"/>
    <w:rsid w:val="00F52D63"/>
    <w:rsid w:val="00F654B6"/>
    <w:rsid w:val="00F667BE"/>
    <w:rsid w:val="00F80479"/>
    <w:rsid w:val="00F919CC"/>
    <w:rsid w:val="00FA6081"/>
    <w:rsid w:val="00FD1B57"/>
    <w:rsid w:val="00FD4D7A"/>
    <w:rsid w:val="00FF111C"/>
    <w:rsid w:val="00FF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0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8D"/>
    <w:pPr>
      <w:spacing w:after="0" w:line="240" w:lineRule="auto"/>
      <w:ind w:left="720"/>
    </w:pPr>
    <w:rPr>
      <w:rFonts w:ascii="Calibri" w:eastAsia="Times New Roman" w:hAnsi="Calibri" w:cs="Times New Roman"/>
      <w:color w:val="000000"/>
      <w:lang w:eastAsia="es-ES"/>
    </w:rPr>
  </w:style>
  <w:style w:type="character" w:customStyle="1" w:styleId="spelle">
    <w:name w:val="spelle"/>
    <w:basedOn w:val="Fuentedeprrafopredeter"/>
    <w:rsid w:val="0074628D"/>
  </w:style>
  <w:style w:type="character" w:styleId="Textodelmarcadordeposicin">
    <w:name w:val="Placeholder Text"/>
    <w:basedOn w:val="Fuentedeprrafopredeter"/>
    <w:uiPriority w:val="99"/>
    <w:semiHidden/>
    <w:rsid w:val="002D2E3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E34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2A8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2A8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2A86"/>
    <w:rPr>
      <w:vertAlign w:val="superscript"/>
    </w:rPr>
  </w:style>
  <w:style w:type="table" w:styleId="Tablaconcuadrcula">
    <w:name w:val="Table Grid"/>
    <w:basedOn w:val="Tablanormal"/>
    <w:uiPriority w:val="59"/>
    <w:rsid w:val="002D7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uiPriority w:val="99"/>
    <w:rsid w:val="00291FD6"/>
    <w:pPr>
      <w:tabs>
        <w:tab w:val="center" w:pos="4240"/>
        <w:tab w:val="right" w:pos="8500"/>
      </w:tabs>
      <w:spacing w:after="0" w:line="240" w:lineRule="auto"/>
      <w:jc w:val="center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9A5F-795B-41BF-B3BD-C7BD8D7B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</dc:creator>
  <cp:keywords/>
  <dc:description/>
  <cp:lastModifiedBy>marcaffera</cp:lastModifiedBy>
  <cp:revision>62</cp:revision>
  <dcterms:created xsi:type="dcterms:W3CDTF">2008-06-13T22:05:00Z</dcterms:created>
  <dcterms:modified xsi:type="dcterms:W3CDTF">2008-07-03T20:51:00Z</dcterms:modified>
</cp:coreProperties>
</file>