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A4C" w:rsidRPr="00F27A8A" w:rsidRDefault="00F86A4C" w:rsidP="00FF6405">
      <w:pPr>
        <w:jc w:val="center"/>
        <w:rPr>
          <w:b/>
          <w:sz w:val="28"/>
          <w:szCs w:val="28"/>
          <w:lang w:val="en-US"/>
        </w:rPr>
      </w:pPr>
      <w:r w:rsidRPr="00F27A8A">
        <w:rPr>
          <w:b/>
          <w:sz w:val="28"/>
          <w:szCs w:val="28"/>
          <w:lang w:val="en-US"/>
        </w:rPr>
        <w:t xml:space="preserve">What </w:t>
      </w:r>
      <w:r w:rsidR="00C7582E" w:rsidRPr="00F27A8A">
        <w:rPr>
          <w:b/>
          <w:sz w:val="28"/>
          <w:szCs w:val="28"/>
          <w:lang w:val="en-US"/>
        </w:rPr>
        <w:t xml:space="preserve">do </w:t>
      </w:r>
      <w:r w:rsidRPr="00F27A8A">
        <w:rPr>
          <w:b/>
          <w:sz w:val="28"/>
          <w:szCs w:val="28"/>
          <w:lang w:val="en-US"/>
        </w:rPr>
        <w:t xml:space="preserve">happiness </w:t>
      </w:r>
      <w:r w:rsidR="00F01066">
        <w:rPr>
          <w:b/>
          <w:sz w:val="28"/>
          <w:szCs w:val="28"/>
          <w:lang w:val="en-US"/>
        </w:rPr>
        <w:t xml:space="preserve">and health satisfaction </w:t>
      </w:r>
      <w:r w:rsidRPr="00F27A8A">
        <w:rPr>
          <w:b/>
          <w:sz w:val="28"/>
          <w:szCs w:val="28"/>
          <w:lang w:val="en-US"/>
        </w:rPr>
        <w:t>data tell us about relative risk aversion?</w:t>
      </w:r>
      <w:r w:rsidR="003C3998" w:rsidRPr="00F27A8A">
        <w:rPr>
          <w:rStyle w:val="Refdenotaalpie"/>
          <w:b/>
          <w:sz w:val="28"/>
          <w:szCs w:val="28"/>
          <w:lang w:val="en-US"/>
        </w:rPr>
        <w:footnoteReference w:id="2"/>
      </w:r>
    </w:p>
    <w:p w:rsidR="00FF6405" w:rsidRPr="008337B3" w:rsidRDefault="00FF6405" w:rsidP="00FF6405">
      <w:pPr>
        <w:jc w:val="center"/>
        <w:rPr>
          <w:b/>
          <w:i/>
          <w:sz w:val="24"/>
          <w:szCs w:val="24"/>
          <w:lang w:val="en-US"/>
        </w:rPr>
      </w:pPr>
    </w:p>
    <w:p w:rsidR="00FF6405" w:rsidRPr="008337B3" w:rsidRDefault="00FF6405" w:rsidP="00FF6405">
      <w:pPr>
        <w:jc w:val="center"/>
        <w:rPr>
          <w:b/>
          <w:sz w:val="24"/>
          <w:szCs w:val="24"/>
          <w:lang w:val="en-US"/>
        </w:rPr>
      </w:pPr>
    </w:p>
    <w:p w:rsidR="00FF6405" w:rsidRPr="008337B3" w:rsidRDefault="00FF6405" w:rsidP="00FF6405">
      <w:pPr>
        <w:spacing w:line="360" w:lineRule="auto"/>
        <w:jc w:val="center"/>
        <w:rPr>
          <w:sz w:val="24"/>
          <w:szCs w:val="24"/>
          <w:lang w:val="en-US"/>
        </w:rPr>
      </w:pPr>
      <w:r w:rsidRPr="008337B3">
        <w:rPr>
          <w:sz w:val="24"/>
          <w:szCs w:val="24"/>
          <w:lang w:val="en-US"/>
        </w:rPr>
        <w:t>Néstor Gandelman</w:t>
      </w:r>
      <w:r w:rsidRPr="008337B3">
        <w:rPr>
          <w:sz w:val="24"/>
          <w:szCs w:val="24"/>
          <w:lang w:val="en-US"/>
        </w:rPr>
        <w:tab/>
      </w:r>
      <w:r w:rsidRPr="008337B3">
        <w:rPr>
          <w:sz w:val="24"/>
          <w:szCs w:val="24"/>
          <w:lang w:val="en-US"/>
        </w:rPr>
        <w:tab/>
        <w:t>Rubén Hernández-Murillo</w:t>
      </w:r>
    </w:p>
    <w:p w:rsidR="00FF6405" w:rsidRPr="008337B3" w:rsidRDefault="00FF6405" w:rsidP="00FF6405">
      <w:pPr>
        <w:spacing w:line="360" w:lineRule="auto"/>
        <w:jc w:val="center"/>
        <w:rPr>
          <w:sz w:val="24"/>
          <w:szCs w:val="24"/>
          <w:lang w:val="en-US"/>
        </w:rPr>
      </w:pPr>
      <w:r w:rsidRPr="008337B3">
        <w:rPr>
          <w:sz w:val="24"/>
          <w:szCs w:val="24"/>
          <w:lang w:val="en-US"/>
        </w:rPr>
        <w:t>Universidad ORT Uruguay</w:t>
      </w:r>
      <w:r w:rsidRPr="008337B3">
        <w:rPr>
          <w:sz w:val="24"/>
          <w:szCs w:val="24"/>
          <w:lang w:val="en-US"/>
        </w:rPr>
        <w:tab/>
      </w:r>
      <w:r w:rsidRPr="008337B3">
        <w:rPr>
          <w:sz w:val="24"/>
          <w:szCs w:val="24"/>
          <w:lang w:val="en-US"/>
        </w:rPr>
        <w:tab/>
        <w:t xml:space="preserve">Federal Reserve </w:t>
      </w:r>
      <w:r w:rsidR="00970633" w:rsidRPr="008337B3">
        <w:rPr>
          <w:sz w:val="24"/>
          <w:szCs w:val="24"/>
          <w:lang w:val="en-US"/>
        </w:rPr>
        <w:t>B</w:t>
      </w:r>
      <w:r w:rsidR="00970633">
        <w:rPr>
          <w:sz w:val="24"/>
          <w:szCs w:val="24"/>
          <w:lang w:val="en-US"/>
        </w:rPr>
        <w:t xml:space="preserve">ank </w:t>
      </w:r>
      <w:r w:rsidRPr="008337B3">
        <w:rPr>
          <w:sz w:val="24"/>
          <w:szCs w:val="24"/>
          <w:lang w:val="en-US"/>
        </w:rPr>
        <w:t>of St. Louis</w:t>
      </w:r>
    </w:p>
    <w:p w:rsidR="00FF6405" w:rsidRPr="008337B3" w:rsidRDefault="00FF6405" w:rsidP="00FF6405">
      <w:pPr>
        <w:jc w:val="center"/>
        <w:rPr>
          <w:b/>
          <w:sz w:val="24"/>
          <w:szCs w:val="24"/>
          <w:lang w:val="en-US"/>
        </w:rPr>
      </w:pPr>
    </w:p>
    <w:p w:rsidR="00FF6405" w:rsidRDefault="00FF6405" w:rsidP="00FF6405">
      <w:pPr>
        <w:jc w:val="center"/>
        <w:rPr>
          <w:sz w:val="24"/>
          <w:szCs w:val="24"/>
          <w:lang w:val="en-US"/>
        </w:rPr>
      </w:pPr>
    </w:p>
    <w:p w:rsidR="008337B3" w:rsidRDefault="006C261E" w:rsidP="00FF6405">
      <w:pPr>
        <w:jc w:val="center"/>
        <w:rPr>
          <w:sz w:val="24"/>
          <w:szCs w:val="24"/>
          <w:lang w:val="en-US"/>
        </w:rPr>
      </w:pPr>
      <w:r>
        <w:rPr>
          <w:sz w:val="24"/>
          <w:szCs w:val="24"/>
          <w:lang w:val="en-US"/>
        </w:rPr>
        <w:t>February 2012</w:t>
      </w:r>
    </w:p>
    <w:p w:rsidR="008337B3" w:rsidRPr="008337B3" w:rsidRDefault="008337B3" w:rsidP="00FF6405">
      <w:pPr>
        <w:jc w:val="center"/>
        <w:rPr>
          <w:sz w:val="24"/>
          <w:szCs w:val="24"/>
          <w:lang w:val="en-US"/>
        </w:rPr>
      </w:pPr>
    </w:p>
    <w:p w:rsidR="008337B3" w:rsidRDefault="008337B3" w:rsidP="00FF6405">
      <w:pPr>
        <w:jc w:val="center"/>
        <w:rPr>
          <w:sz w:val="24"/>
          <w:szCs w:val="24"/>
          <w:lang w:val="en-US"/>
        </w:rPr>
      </w:pPr>
    </w:p>
    <w:p w:rsidR="008337B3" w:rsidRPr="008337B3" w:rsidRDefault="008337B3" w:rsidP="00FF6405">
      <w:pPr>
        <w:jc w:val="center"/>
        <w:rPr>
          <w:i/>
          <w:sz w:val="24"/>
          <w:szCs w:val="24"/>
          <w:lang w:val="en-US"/>
        </w:rPr>
      </w:pPr>
      <w:r w:rsidRPr="008337B3">
        <w:rPr>
          <w:i/>
          <w:sz w:val="24"/>
          <w:szCs w:val="24"/>
          <w:lang w:val="en-US"/>
        </w:rPr>
        <w:t>Abstract</w:t>
      </w:r>
    </w:p>
    <w:p w:rsidR="008337B3" w:rsidRDefault="008337B3" w:rsidP="00FF6405">
      <w:pPr>
        <w:jc w:val="center"/>
        <w:rPr>
          <w:sz w:val="24"/>
          <w:szCs w:val="24"/>
          <w:lang w:val="en-US"/>
        </w:rPr>
      </w:pPr>
    </w:p>
    <w:p w:rsidR="008337B3" w:rsidRDefault="00C7582E" w:rsidP="00C7582E">
      <w:pPr>
        <w:ind w:firstLine="708"/>
        <w:jc w:val="both"/>
        <w:rPr>
          <w:sz w:val="24"/>
          <w:szCs w:val="24"/>
          <w:lang w:val="en-US"/>
        </w:rPr>
      </w:pPr>
      <w:r>
        <w:rPr>
          <w:sz w:val="24"/>
          <w:szCs w:val="24"/>
          <w:lang w:val="en-US"/>
        </w:rPr>
        <w:t>In this paper we provide estimates of the coefficient of relative risk aversion using information on self-reports of subjective personal well-</w:t>
      </w:r>
      <w:r w:rsidR="006C261E">
        <w:rPr>
          <w:sz w:val="24"/>
          <w:szCs w:val="24"/>
          <w:lang w:val="en-US"/>
        </w:rPr>
        <w:t xml:space="preserve">being from </w:t>
      </w:r>
      <w:r w:rsidR="008624B2">
        <w:rPr>
          <w:sz w:val="24"/>
          <w:szCs w:val="24"/>
          <w:lang w:val="en-US"/>
        </w:rPr>
        <w:t xml:space="preserve">three </w:t>
      </w:r>
      <w:r w:rsidR="006C261E">
        <w:rPr>
          <w:sz w:val="24"/>
          <w:szCs w:val="24"/>
          <w:lang w:val="en-US"/>
        </w:rPr>
        <w:t>data sets</w:t>
      </w:r>
      <w:r w:rsidR="008624B2">
        <w:rPr>
          <w:sz w:val="24"/>
          <w:szCs w:val="24"/>
          <w:lang w:val="en-US"/>
        </w:rPr>
        <w:t>: the Gallup World Poll, the European Social Survey, and the World Values Survey</w:t>
      </w:r>
      <w:r>
        <w:rPr>
          <w:sz w:val="24"/>
          <w:szCs w:val="24"/>
          <w:lang w:val="en-US"/>
        </w:rPr>
        <w:t>.</w:t>
      </w:r>
    </w:p>
    <w:p w:rsidR="00C7582E" w:rsidRDefault="00C7582E" w:rsidP="00C7582E">
      <w:pPr>
        <w:jc w:val="both"/>
        <w:rPr>
          <w:sz w:val="24"/>
          <w:szCs w:val="24"/>
          <w:lang w:val="en-US"/>
        </w:rPr>
      </w:pPr>
      <w:r>
        <w:rPr>
          <w:sz w:val="24"/>
          <w:szCs w:val="24"/>
          <w:lang w:val="en-US"/>
        </w:rPr>
        <w:tab/>
        <w:t xml:space="preserve">We </w:t>
      </w:r>
      <w:r w:rsidR="008624B2">
        <w:rPr>
          <w:sz w:val="24"/>
          <w:szCs w:val="24"/>
          <w:lang w:val="en-US"/>
        </w:rPr>
        <w:t xml:space="preserve">additionally </w:t>
      </w:r>
      <w:r>
        <w:rPr>
          <w:sz w:val="24"/>
          <w:szCs w:val="24"/>
          <w:lang w:val="en-US"/>
        </w:rPr>
        <w:t>consider the implications of allowing for health state dependence in the utility function</w:t>
      </w:r>
      <w:r w:rsidR="008624B2">
        <w:rPr>
          <w:sz w:val="24"/>
          <w:szCs w:val="24"/>
          <w:lang w:val="en-US"/>
        </w:rPr>
        <w:t xml:space="preserve"> on estimates of risk aversion and examine how the marginal utility of income changes in bad health states</w:t>
      </w:r>
      <w:r>
        <w:rPr>
          <w:sz w:val="24"/>
          <w:szCs w:val="24"/>
          <w:lang w:val="en-US"/>
        </w:rPr>
        <w:t xml:space="preserve">. </w:t>
      </w:r>
    </w:p>
    <w:p w:rsidR="00C7582E" w:rsidRDefault="00C7582E" w:rsidP="00C7582E">
      <w:pPr>
        <w:jc w:val="both"/>
        <w:rPr>
          <w:sz w:val="24"/>
          <w:szCs w:val="24"/>
          <w:lang w:val="en-US"/>
        </w:rPr>
      </w:pPr>
      <w:r>
        <w:rPr>
          <w:sz w:val="24"/>
          <w:szCs w:val="24"/>
          <w:lang w:val="en-US"/>
        </w:rPr>
        <w:tab/>
        <w:t xml:space="preserve">Our estimates of relative risk aversion </w:t>
      </w:r>
      <w:r w:rsidR="008624B2">
        <w:rPr>
          <w:sz w:val="24"/>
          <w:szCs w:val="24"/>
          <w:lang w:val="en-US"/>
        </w:rPr>
        <w:t>vary closely around 1, which corresponds to logarithmic utility</w:t>
      </w:r>
      <w:r w:rsidR="002D00F5">
        <w:rPr>
          <w:sz w:val="24"/>
          <w:szCs w:val="24"/>
          <w:lang w:val="en-US"/>
        </w:rPr>
        <w:t xml:space="preserve">, ranging between 0.79 and 1.44. </w:t>
      </w:r>
      <w:r>
        <w:rPr>
          <w:sz w:val="24"/>
          <w:szCs w:val="24"/>
          <w:lang w:val="en-US"/>
        </w:rPr>
        <w:t xml:space="preserve"> We find that controlling for health dependence generally reduces these estimates. </w:t>
      </w:r>
      <w:r w:rsidR="002D00F5">
        <w:rPr>
          <w:sz w:val="24"/>
          <w:szCs w:val="24"/>
          <w:lang w:val="en-US"/>
        </w:rPr>
        <w:t>In contrast with other studies in the literature, o</w:t>
      </w:r>
      <w:r w:rsidR="009001E7">
        <w:rPr>
          <w:sz w:val="24"/>
          <w:szCs w:val="24"/>
          <w:lang w:val="en-US"/>
        </w:rPr>
        <w:t>u</w:t>
      </w:r>
      <w:r>
        <w:rPr>
          <w:sz w:val="24"/>
          <w:szCs w:val="24"/>
          <w:lang w:val="en-US"/>
        </w:rPr>
        <w:t xml:space="preserve">r results also suggest that the marginal utility of income </w:t>
      </w:r>
      <w:r w:rsidR="007F38D2" w:rsidRPr="007F38D2">
        <w:rPr>
          <w:i/>
          <w:sz w:val="24"/>
          <w:szCs w:val="24"/>
          <w:lang w:val="en-US"/>
        </w:rPr>
        <w:t>increases</w:t>
      </w:r>
      <w:r>
        <w:rPr>
          <w:sz w:val="24"/>
          <w:szCs w:val="24"/>
          <w:lang w:val="en-US"/>
        </w:rPr>
        <w:t xml:space="preserve"> when health deteriorates</w:t>
      </w:r>
      <w:r w:rsidR="002D00F5">
        <w:rPr>
          <w:sz w:val="24"/>
          <w:szCs w:val="24"/>
          <w:lang w:val="en-US"/>
        </w:rPr>
        <w:t>, and this effect is robust across the various data sets we analyzed</w:t>
      </w:r>
    </w:p>
    <w:p w:rsidR="008337B3" w:rsidRDefault="008337B3" w:rsidP="00FF6405">
      <w:pPr>
        <w:jc w:val="center"/>
        <w:rPr>
          <w:sz w:val="24"/>
          <w:szCs w:val="24"/>
          <w:lang w:val="en-US"/>
        </w:rPr>
      </w:pPr>
    </w:p>
    <w:p w:rsidR="00FF6405" w:rsidRPr="008337B3" w:rsidRDefault="00FF6405" w:rsidP="00FF6405">
      <w:pPr>
        <w:jc w:val="center"/>
        <w:rPr>
          <w:b/>
          <w:sz w:val="24"/>
          <w:szCs w:val="24"/>
          <w:lang w:val="en-US"/>
        </w:rPr>
      </w:pPr>
    </w:p>
    <w:p w:rsidR="00754479" w:rsidRDefault="00754479" w:rsidP="008337B3">
      <w:pPr>
        <w:spacing w:line="360" w:lineRule="auto"/>
        <w:ind w:left="360"/>
        <w:jc w:val="both"/>
        <w:rPr>
          <w:sz w:val="24"/>
          <w:szCs w:val="24"/>
          <w:lang w:val="en-US"/>
        </w:rPr>
      </w:pPr>
    </w:p>
    <w:p w:rsidR="00754479" w:rsidRDefault="00754479" w:rsidP="008337B3">
      <w:pPr>
        <w:spacing w:line="360" w:lineRule="auto"/>
        <w:ind w:left="360"/>
        <w:jc w:val="both"/>
        <w:rPr>
          <w:sz w:val="24"/>
          <w:szCs w:val="24"/>
          <w:lang w:val="en-US"/>
        </w:rPr>
      </w:pPr>
    </w:p>
    <w:p w:rsidR="00BC383D" w:rsidRPr="00754479" w:rsidRDefault="00BC383D" w:rsidP="00BC383D">
      <w:pPr>
        <w:spacing w:line="360" w:lineRule="auto"/>
        <w:ind w:left="360"/>
        <w:jc w:val="both"/>
        <w:rPr>
          <w:sz w:val="24"/>
          <w:szCs w:val="24"/>
          <w:lang w:val="en-US"/>
        </w:rPr>
      </w:pPr>
      <w:r w:rsidRPr="00BC383D">
        <w:rPr>
          <w:b/>
          <w:sz w:val="24"/>
          <w:szCs w:val="24"/>
          <w:lang w:val="en-US"/>
        </w:rPr>
        <w:t>JEL codes</w:t>
      </w:r>
      <w:r>
        <w:rPr>
          <w:sz w:val="24"/>
          <w:szCs w:val="24"/>
          <w:lang w:val="en-US"/>
        </w:rPr>
        <w:t>: D8</w:t>
      </w:r>
      <w:r w:rsidR="00E0046C">
        <w:rPr>
          <w:sz w:val="24"/>
          <w:szCs w:val="24"/>
          <w:lang w:val="en-US"/>
        </w:rPr>
        <w:t>0</w:t>
      </w:r>
      <w:r>
        <w:rPr>
          <w:sz w:val="24"/>
          <w:szCs w:val="24"/>
          <w:lang w:val="en-US"/>
        </w:rPr>
        <w:t xml:space="preserve">, </w:t>
      </w:r>
      <w:r w:rsidR="00E0046C">
        <w:rPr>
          <w:sz w:val="24"/>
          <w:szCs w:val="24"/>
          <w:lang w:val="en-US"/>
        </w:rPr>
        <w:t xml:space="preserve">G00, I10, </w:t>
      </w:r>
      <w:r>
        <w:rPr>
          <w:sz w:val="24"/>
          <w:szCs w:val="24"/>
          <w:lang w:val="en-US"/>
        </w:rPr>
        <w:t>I</w:t>
      </w:r>
      <w:r w:rsidR="00E0046C">
        <w:rPr>
          <w:sz w:val="24"/>
          <w:szCs w:val="24"/>
          <w:lang w:val="en-US"/>
        </w:rPr>
        <w:t>3</w:t>
      </w:r>
      <w:r>
        <w:rPr>
          <w:sz w:val="24"/>
          <w:szCs w:val="24"/>
          <w:lang w:val="en-US"/>
        </w:rPr>
        <w:t>1.</w:t>
      </w:r>
    </w:p>
    <w:p w:rsidR="008337B3" w:rsidRDefault="008337B3" w:rsidP="008337B3">
      <w:pPr>
        <w:spacing w:line="360" w:lineRule="auto"/>
        <w:ind w:left="360"/>
        <w:jc w:val="both"/>
        <w:rPr>
          <w:sz w:val="24"/>
          <w:szCs w:val="24"/>
          <w:lang w:val="en-US"/>
        </w:rPr>
      </w:pPr>
      <w:r w:rsidRPr="00BC383D">
        <w:rPr>
          <w:b/>
          <w:sz w:val="24"/>
          <w:szCs w:val="24"/>
          <w:lang w:val="en-US"/>
        </w:rPr>
        <w:t>Keywords</w:t>
      </w:r>
      <w:r w:rsidRPr="008337B3">
        <w:rPr>
          <w:sz w:val="24"/>
          <w:szCs w:val="24"/>
          <w:lang w:val="en-US"/>
        </w:rPr>
        <w:t>:</w:t>
      </w:r>
      <w:r>
        <w:rPr>
          <w:sz w:val="24"/>
          <w:szCs w:val="24"/>
          <w:lang w:val="en-US"/>
        </w:rPr>
        <w:t xml:space="preserve"> relative risk aversion; marginal utility of income; happiness; health dependence</w:t>
      </w:r>
      <w:r w:rsidR="00A90E3B">
        <w:rPr>
          <w:sz w:val="24"/>
          <w:szCs w:val="24"/>
          <w:lang w:val="en-US"/>
        </w:rPr>
        <w:t>.</w:t>
      </w:r>
      <w:r>
        <w:rPr>
          <w:sz w:val="24"/>
          <w:szCs w:val="24"/>
          <w:lang w:val="en-US"/>
        </w:rPr>
        <w:t xml:space="preserve"> </w:t>
      </w:r>
    </w:p>
    <w:p w:rsidR="001A0C0B" w:rsidRDefault="001A0C0B" w:rsidP="008337B3">
      <w:pPr>
        <w:spacing w:line="360" w:lineRule="auto"/>
        <w:ind w:left="360"/>
        <w:jc w:val="both"/>
        <w:rPr>
          <w:sz w:val="24"/>
          <w:szCs w:val="24"/>
          <w:lang w:val="en-US"/>
        </w:rPr>
        <w:sectPr w:rsidR="001A0C0B" w:rsidSect="001A0C0B">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1906" w:h="16838"/>
          <w:pgMar w:top="1418" w:right="1701" w:bottom="1418" w:left="1701" w:header="720" w:footer="720" w:gutter="0"/>
          <w:cols w:space="720"/>
        </w:sectPr>
      </w:pPr>
    </w:p>
    <w:p w:rsidR="001A0C0B" w:rsidRDefault="001A0C0B" w:rsidP="001A0C0B">
      <w:pPr>
        <w:keepNext/>
        <w:numPr>
          <w:ilvl w:val="0"/>
          <w:numId w:val="1"/>
        </w:numPr>
        <w:spacing w:line="360" w:lineRule="auto"/>
        <w:jc w:val="both"/>
        <w:rPr>
          <w:b/>
          <w:sz w:val="24"/>
          <w:lang w:val="en-US"/>
        </w:rPr>
      </w:pPr>
      <w:r>
        <w:rPr>
          <w:b/>
          <w:sz w:val="24"/>
          <w:lang w:val="en-US"/>
        </w:rPr>
        <w:lastRenderedPageBreak/>
        <w:t>Introduction</w:t>
      </w:r>
    </w:p>
    <w:p w:rsidR="0097439B" w:rsidRDefault="0097439B" w:rsidP="0097439B">
      <w:pPr>
        <w:spacing w:line="360" w:lineRule="auto"/>
        <w:ind w:left="360"/>
        <w:jc w:val="both"/>
        <w:rPr>
          <w:b/>
          <w:sz w:val="24"/>
          <w:szCs w:val="24"/>
          <w:lang w:val="en-US"/>
        </w:rPr>
      </w:pPr>
    </w:p>
    <w:p w:rsidR="0097439B" w:rsidRDefault="00502164" w:rsidP="0097439B">
      <w:pPr>
        <w:spacing w:line="360" w:lineRule="auto"/>
        <w:jc w:val="both"/>
        <w:rPr>
          <w:sz w:val="24"/>
          <w:lang w:val="en-US"/>
        </w:rPr>
      </w:pPr>
      <w:r>
        <w:rPr>
          <w:sz w:val="24"/>
          <w:lang w:val="en-US"/>
        </w:rPr>
        <w:t xml:space="preserve">Attitudes towards risk are a central issue in almost every economic problem involving decision making. </w:t>
      </w:r>
      <w:r w:rsidRPr="00B05973">
        <w:rPr>
          <w:sz w:val="24"/>
          <w:lang w:val="en-US"/>
        </w:rPr>
        <w:t xml:space="preserve">Surprisingly, there is not yet </w:t>
      </w:r>
      <w:r w:rsidR="009F72C1">
        <w:rPr>
          <w:sz w:val="24"/>
          <w:lang w:val="en-US"/>
        </w:rPr>
        <w:t xml:space="preserve">a </w:t>
      </w:r>
      <w:r w:rsidRPr="00B05973">
        <w:rPr>
          <w:sz w:val="24"/>
          <w:lang w:val="en-US"/>
        </w:rPr>
        <w:t>commonly accepted estimate</w:t>
      </w:r>
      <w:r w:rsidR="009F72C1">
        <w:rPr>
          <w:sz w:val="24"/>
          <w:lang w:val="en-US"/>
        </w:rPr>
        <w:t xml:space="preserve"> of the coefficient of relative risk aversion</w:t>
      </w:r>
      <w:r w:rsidRPr="00B05973">
        <w:rPr>
          <w:sz w:val="24"/>
          <w:lang w:val="en-US"/>
        </w:rPr>
        <w:t xml:space="preserve">. </w:t>
      </w:r>
      <w:r w:rsidR="0097439B" w:rsidRPr="0097439B">
        <w:rPr>
          <w:sz w:val="24"/>
          <w:lang w:val="en-US"/>
        </w:rPr>
        <w:t xml:space="preserve">Many economists think that the coefficient of relative risk aversion probably lies between 1 and </w:t>
      </w:r>
      <w:r w:rsidR="009D52DA">
        <w:rPr>
          <w:sz w:val="24"/>
          <w:lang w:val="en-US"/>
        </w:rPr>
        <w:t>3</w:t>
      </w:r>
      <w:r w:rsidR="0097439B" w:rsidRPr="0097439B">
        <w:rPr>
          <w:sz w:val="24"/>
          <w:lang w:val="en-US"/>
        </w:rPr>
        <w:t>, but there is a wide range of estimates</w:t>
      </w:r>
      <w:r w:rsidR="00D3026E">
        <w:rPr>
          <w:sz w:val="24"/>
          <w:lang w:val="en-US"/>
        </w:rPr>
        <w:t xml:space="preserve"> in the literature</w:t>
      </w:r>
      <w:r w:rsidR="0097439B" w:rsidRPr="0097439B">
        <w:rPr>
          <w:sz w:val="24"/>
          <w:lang w:val="en-US"/>
        </w:rPr>
        <w:t>, from as low as 0.2 going up to 1</w:t>
      </w:r>
      <w:r w:rsidR="00EC7E20">
        <w:rPr>
          <w:sz w:val="24"/>
          <w:lang w:val="en-US"/>
        </w:rPr>
        <w:t>0</w:t>
      </w:r>
      <w:r w:rsidR="00C80E86">
        <w:rPr>
          <w:sz w:val="24"/>
          <w:lang w:val="en-US"/>
        </w:rPr>
        <w:t xml:space="preserve"> or higher</w:t>
      </w:r>
      <w:r w:rsidR="00D3026E">
        <w:rPr>
          <w:sz w:val="24"/>
          <w:lang w:val="en-US"/>
        </w:rPr>
        <w:t>,</w:t>
      </w:r>
      <w:r w:rsidR="00EC7E20">
        <w:rPr>
          <w:sz w:val="24"/>
          <w:lang w:val="en-US"/>
        </w:rPr>
        <w:t xml:space="preserve"> particularly in the literature that </w:t>
      </w:r>
      <w:r w:rsidR="00304881">
        <w:rPr>
          <w:sz w:val="24"/>
          <w:lang w:val="en-US"/>
        </w:rPr>
        <w:t>uses inferences from behavioral choices to e</w:t>
      </w:r>
      <w:r w:rsidR="00BF4435">
        <w:rPr>
          <w:sz w:val="24"/>
          <w:lang w:val="en-US"/>
        </w:rPr>
        <w:t>licit</w:t>
      </w:r>
      <w:r w:rsidR="00304881">
        <w:rPr>
          <w:sz w:val="24"/>
          <w:lang w:val="en-US"/>
        </w:rPr>
        <w:t xml:space="preserve"> risk aversion.</w:t>
      </w:r>
    </w:p>
    <w:p w:rsidR="001A0C0B" w:rsidRDefault="00C30D68" w:rsidP="001A0C0B">
      <w:pPr>
        <w:spacing w:line="360" w:lineRule="auto"/>
        <w:jc w:val="both"/>
        <w:rPr>
          <w:sz w:val="24"/>
          <w:lang w:val="en-US"/>
        </w:rPr>
      </w:pPr>
      <w:r>
        <w:rPr>
          <w:sz w:val="24"/>
          <w:lang w:val="en-US"/>
        </w:rPr>
        <w:tab/>
      </w:r>
      <w:r w:rsidR="00157A7E">
        <w:rPr>
          <w:sz w:val="24"/>
          <w:lang w:val="en-US"/>
        </w:rPr>
        <w:t xml:space="preserve">Among the studies based on behavioral choices, </w:t>
      </w:r>
      <w:r w:rsidRPr="00B05973">
        <w:rPr>
          <w:sz w:val="24"/>
          <w:lang w:val="en-US"/>
        </w:rPr>
        <w:t>Friend and Blume (1975), study</w:t>
      </w:r>
      <w:r>
        <w:rPr>
          <w:sz w:val="24"/>
          <w:lang w:val="en-US"/>
        </w:rPr>
        <w:t>ing</w:t>
      </w:r>
      <w:r w:rsidRPr="00B05973">
        <w:rPr>
          <w:sz w:val="24"/>
          <w:lang w:val="en-US"/>
        </w:rPr>
        <w:t xml:space="preserve"> the demand for risky assets, </w:t>
      </w:r>
      <w:r>
        <w:rPr>
          <w:sz w:val="24"/>
          <w:lang w:val="en-US"/>
        </w:rPr>
        <w:t>estimate</w:t>
      </w:r>
      <w:r w:rsidRPr="00B05973">
        <w:rPr>
          <w:sz w:val="24"/>
          <w:lang w:val="en-US"/>
        </w:rPr>
        <w:t xml:space="preserve"> that </w:t>
      </w:r>
      <w:r>
        <w:rPr>
          <w:sz w:val="24"/>
          <w:lang w:val="en-US"/>
        </w:rPr>
        <w:t xml:space="preserve">the coefficient of </w:t>
      </w:r>
      <w:r w:rsidRPr="00B05973">
        <w:rPr>
          <w:sz w:val="24"/>
          <w:lang w:val="en-US"/>
        </w:rPr>
        <w:t>relative risk aversion generally exceeds 1. Weber (1975), using expenditure data, and Szpiro, (1986) using data on property insurance, estimate relative risk aversion to be in the range between 1.3 and 1.8. Using consumption data, Hansen and Singleton (1983) report lower estimates, between 0.68 and 0.97. Also using data on consumption, Mankiw (1985) finds much larger estimates in the range of 2.44 to 5.26.</w:t>
      </w:r>
      <w:r w:rsidR="003575E6">
        <w:rPr>
          <w:rStyle w:val="Refdenotaalpie"/>
          <w:sz w:val="24"/>
          <w:lang w:val="en-US"/>
        </w:rPr>
        <w:footnoteReference w:id="3"/>
      </w:r>
      <w:r w:rsidRPr="00B05973">
        <w:rPr>
          <w:sz w:val="24"/>
          <w:lang w:val="en-US"/>
        </w:rPr>
        <w:t xml:space="preserve"> </w:t>
      </w:r>
    </w:p>
    <w:p w:rsidR="00DE2587" w:rsidRDefault="001A0C0B" w:rsidP="001A0C0B">
      <w:pPr>
        <w:spacing w:line="360" w:lineRule="auto"/>
        <w:jc w:val="both"/>
        <w:rPr>
          <w:sz w:val="24"/>
          <w:lang w:val="en-US"/>
        </w:rPr>
      </w:pPr>
      <w:r>
        <w:rPr>
          <w:sz w:val="24"/>
          <w:lang w:val="en-US"/>
        </w:rPr>
        <w:tab/>
      </w:r>
      <w:r w:rsidR="00DE2587">
        <w:rPr>
          <w:sz w:val="24"/>
          <w:lang w:val="en-US"/>
        </w:rPr>
        <w:t xml:space="preserve">In this paper we use data on subjective self-reports of personal well-being to estimate the coefficient of relative risk aversion. The literature on the application of happiness or subjective well-being data to address economic issues originated with </w:t>
      </w:r>
      <w:r w:rsidR="00DE2587" w:rsidRPr="00A12590">
        <w:rPr>
          <w:sz w:val="24"/>
          <w:lang w:val="en-US"/>
        </w:rPr>
        <w:t>Easterlin’s (1974) seminal paper</w:t>
      </w:r>
      <w:r w:rsidR="00DE2587">
        <w:rPr>
          <w:sz w:val="24"/>
          <w:lang w:val="en-US"/>
        </w:rPr>
        <w:t>, and since</w:t>
      </w:r>
      <w:r w:rsidR="00DE2587" w:rsidRPr="006B7215">
        <w:rPr>
          <w:sz w:val="24"/>
          <w:lang w:val="en-US"/>
        </w:rPr>
        <w:t xml:space="preserve"> the late nineties the amount of research making use of happiness and satisfaction databases</w:t>
      </w:r>
      <w:r w:rsidR="00DE2587">
        <w:rPr>
          <w:sz w:val="24"/>
          <w:lang w:val="en-US"/>
        </w:rPr>
        <w:t xml:space="preserve"> </w:t>
      </w:r>
      <w:r w:rsidR="00DE2587" w:rsidRPr="006B7215">
        <w:rPr>
          <w:sz w:val="24"/>
          <w:lang w:val="en-US"/>
        </w:rPr>
        <w:t>has increase</w:t>
      </w:r>
      <w:r w:rsidR="00DE2587">
        <w:rPr>
          <w:sz w:val="24"/>
          <w:lang w:val="en-US"/>
        </w:rPr>
        <w:t xml:space="preserve">d considerably: </w:t>
      </w:r>
      <w:r w:rsidR="00DE2587" w:rsidRPr="00A12590">
        <w:rPr>
          <w:sz w:val="24"/>
          <w:lang w:val="en-US"/>
        </w:rPr>
        <w:t xml:space="preserve">Frey and Stutzer (2002) and Di Tella and MacCulloch (2006) </w:t>
      </w:r>
      <w:r w:rsidR="00DE2587">
        <w:rPr>
          <w:sz w:val="24"/>
          <w:lang w:val="en-US"/>
        </w:rPr>
        <w:t xml:space="preserve">are two examples of </w:t>
      </w:r>
      <w:r w:rsidR="00DE2587" w:rsidRPr="00A12590">
        <w:rPr>
          <w:sz w:val="24"/>
          <w:lang w:val="en-US"/>
        </w:rPr>
        <w:t>review</w:t>
      </w:r>
      <w:r w:rsidR="00DE2587">
        <w:rPr>
          <w:sz w:val="24"/>
          <w:lang w:val="en-US"/>
        </w:rPr>
        <w:t>s</w:t>
      </w:r>
      <w:r w:rsidR="00DE2587" w:rsidRPr="00A12590">
        <w:rPr>
          <w:sz w:val="24"/>
          <w:lang w:val="en-US"/>
        </w:rPr>
        <w:t xml:space="preserve"> of the use of </w:t>
      </w:r>
      <w:r w:rsidR="00DE2587">
        <w:rPr>
          <w:sz w:val="24"/>
          <w:lang w:val="en-US"/>
        </w:rPr>
        <w:t>these types of</w:t>
      </w:r>
      <w:r w:rsidR="00DE2587" w:rsidRPr="00A12590">
        <w:rPr>
          <w:sz w:val="24"/>
          <w:lang w:val="en-US"/>
        </w:rPr>
        <w:t xml:space="preserve"> data </w:t>
      </w:r>
      <w:r w:rsidR="00DE2587">
        <w:rPr>
          <w:sz w:val="24"/>
          <w:lang w:val="en-US"/>
        </w:rPr>
        <w:t>in</w:t>
      </w:r>
      <w:r w:rsidR="00DE2587" w:rsidRPr="00A12590">
        <w:rPr>
          <w:sz w:val="24"/>
          <w:lang w:val="en-US"/>
        </w:rPr>
        <w:t xml:space="preserve"> </w:t>
      </w:r>
      <w:r w:rsidR="00DE2587">
        <w:rPr>
          <w:sz w:val="24"/>
          <w:lang w:val="en-US"/>
        </w:rPr>
        <w:t>e</w:t>
      </w:r>
      <w:r w:rsidR="00DE2587" w:rsidRPr="00A12590">
        <w:rPr>
          <w:sz w:val="24"/>
          <w:lang w:val="en-US"/>
        </w:rPr>
        <w:t>conomics.</w:t>
      </w:r>
      <w:r w:rsidR="00DE2587">
        <w:rPr>
          <w:sz w:val="24"/>
          <w:lang w:val="en-US"/>
        </w:rPr>
        <w:t xml:space="preserve"> </w:t>
      </w:r>
    </w:p>
    <w:p w:rsidR="00DE2587" w:rsidRDefault="00DE2587">
      <w:pPr>
        <w:spacing w:line="360" w:lineRule="auto"/>
        <w:ind w:firstLine="708"/>
        <w:jc w:val="both"/>
        <w:rPr>
          <w:sz w:val="24"/>
          <w:lang w:val="en-US"/>
        </w:rPr>
      </w:pPr>
      <w:r>
        <w:rPr>
          <w:sz w:val="24"/>
          <w:lang w:val="en-US"/>
        </w:rPr>
        <w:t xml:space="preserve">In our analysis, we build on Layard et al. (2008). They use happiness data to estimate how fast the marginal utility of income declines as income increases, an elasticity that corresponds to the parameter of relative risk aversion under a constant relative risk aversion utility function. The authors stress the importance of this interpretation of the parameter of interest for analyzing normative public economics issues, such as optimal taxation. Our paper extends their analysis by considering health-state dependence in the utility function, as in Finkelstein et al. (2008), and we stress the </w:t>
      </w:r>
      <w:r>
        <w:rPr>
          <w:sz w:val="24"/>
          <w:lang w:val="en-US"/>
        </w:rPr>
        <w:lastRenderedPageBreak/>
        <w:t>interpretation of the parameter of interest as a measure of risk aversion for</w:t>
      </w:r>
      <w:r w:rsidR="00E67C31">
        <w:rPr>
          <w:sz w:val="24"/>
          <w:lang w:val="en-US"/>
        </w:rPr>
        <w:t xml:space="preserve"> analyzing</w:t>
      </w:r>
      <w:r>
        <w:rPr>
          <w:sz w:val="24"/>
          <w:lang w:val="en-US"/>
        </w:rPr>
        <w:t xml:space="preserve"> financial problems such as determining the optimal amount of health insurance. </w:t>
      </w:r>
    </w:p>
    <w:p w:rsidR="00DE2587" w:rsidRDefault="00D90AB1" w:rsidP="00790862">
      <w:pPr>
        <w:spacing w:line="360" w:lineRule="auto"/>
        <w:ind w:firstLine="708"/>
        <w:jc w:val="both"/>
        <w:rPr>
          <w:sz w:val="24"/>
          <w:lang w:val="en-US"/>
        </w:rPr>
      </w:pPr>
      <w:r>
        <w:rPr>
          <w:sz w:val="24"/>
          <w:lang w:val="en-US"/>
        </w:rPr>
        <w:t>We use data from t</w:t>
      </w:r>
      <w:r w:rsidR="006C261E">
        <w:rPr>
          <w:sz w:val="24"/>
          <w:lang w:val="en-US"/>
        </w:rPr>
        <w:t xml:space="preserve">he Gallup </w:t>
      </w:r>
      <w:r>
        <w:rPr>
          <w:sz w:val="24"/>
          <w:lang w:val="en-US"/>
        </w:rPr>
        <w:t>World Poll, the European Social Survey, and the World Values Survey.</w:t>
      </w:r>
      <w:r w:rsidR="00DE2587">
        <w:rPr>
          <w:sz w:val="24"/>
          <w:lang w:val="en-US"/>
        </w:rPr>
        <w:t xml:space="preserve"> </w:t>
      </w:r>
      <w:r>
        <w:rPr>
          <w:sz w:val="24"/>
          <w:lang w:val="en-US"/>
        </w:rPr>
        <w:t xml:space="preserve">The Gallup data set </w:t>
      </w:r>
      <w:r w:rsidR="00DE2587">
        <w:rPr>
          <w:sz w:val="24"/>
          <w:lang w:val="en-US"/>
        </w:rPr>
        <w:t>only recently became available for applied research</w:t>
      </w:r>
      <w:r>
        <w:rPr>
          <w:sz w:val="24"/>
          <w:lang w:val="en-US"/>
        </w:rPr>
        <w:t xml:space="preserve"> and</w:t>
      </w:r>
      <w:r w:rsidR="00DE2587">
        <w:rPr>
          <w:sz w:val="24"/>
          <w:lang w:val="en-US"/>
        </w:rPr>
        <w:t xml:space="preserve"> cover</w:t>
      </w:r>
      <w:r>
        <w:rPr>
          <w:sz w:val="24"/>
          <w:lang w:val="en-US"/>
        </w:rPr>
        <w:t>s</w:t>
      </w:r>
      <w:r w:rsidR="00DE2587">
        <w:rPr>
          <w:sz w:val="24"/>
          <w:lang w:val="en-US"/>
        </w:rPr>
        <w:t xml:space="preserve"> a larger set of people than most subjective well-being surveys: about 70,000 individ</w:t>
      </w:r>
      <w:r w:rsidR="00CE3CBC">
        <w:rPr>
          <w:sz w:val="24"/>
          <w:lang w:val="en-US"/>
        </w:rPr>
        <w:t>uals in more than 140 countries; we use data covering 103 countries.</w:t>
      </w:r>
      <w:r w:rsidR="00DE2587">
        <w:rPr>
          <w:sz w:val="24"/>
          <w:lang w:val="en-US"/>
        </w:rPr>
        <w:t xml:space="preserve"> The largest dataset used by Layard et al. (2008), for example, has only about 50 countries</w:t>
      </w:r>
      <w:r>
        <w:rPr>
          <w:sz w:val="24"/>
          <w:lang w:val="en-US"/>
        </w:rPr>
        <w:t xml:space="preserve">. </w:t>
      </w:r>
      <w:r w:rsidR="006A2E98">
        <w:rPr>
          <w:sz w:val="24"/>
          <w:lang w:val="en-US"/>
        </w:rPr>
        <w:t>We also use data from t</w:t>
      </w:r>
      <w:r>
        <w:rPr>
          <w:sz w:val="24"/>
          <w:lang w:val="en-US"/>
        </w:rPr>
        <w:t xml:space="preserve">he European Social Survey </w:t>
      </w:r>
      <w:r w:rsidR="00CE3CBC">
        <w:rPr>
          <w:sz w:val="24"/>
          <w:lang w:val="en-US"/>
        </w:rPr>
        <w:t>covering 27 countries</w:t>
      </w:r>
      <w:r>
        <w:rPr>
          <w:sz w:val="24"/>
          <w:lang w:val="en-US"/>
        </w:rPr>
        <w:t xml:space="preserve"> </w:t>
      </w:r>
      <w:r w:rsidR="00CE3CBC">
        <w:rPr>
          <w:sz w:val="24"/>
          <w:lang w:val="en-US"/>
        </w:rPr>
        <w:t>and from</w:t>
      </w:r>
      <w:r>
        <w:rPr>
          <w:sz w:val="24"/>
          <w:lang w:val="en-US"/>
        </w:rPr>
        <w:t xml:space="preserve"> the World Values Survey </w:t>
      </w:r>
      <w:r w:rsidR="00CE3CBC">
        <w:rPr>
          <w:sz w:val="24"/>
          <w:lang w:val="en-US"/>
        </w:rPr>
        <w:t>covering</w:t>
      </w:r>
      <w:r>
        <w:rPr>
          <w:sz w:val="24"/>
          <w:lang w:val="en-US"/>
        </w:rPr>
        <w:t xml:space="preserve"> 41 countries</w:t>
      </w:r>
      <w:r w:rsidR="00DE2587">
        <w:rPr>
          <w:sz w:val="24"/>
          <w:lang w:val="en-US"/>
        </w:rPr>
        <w:t xml:space="preserve">. </w:t>
      </w:r>
      <w:r>
        <w:rPr>
          <w:sz w:val="24"/>
          <w:lang w:val="en-US"/>
        </w:rPr>
        <w:t xml:space="preserve">From these surveys, in addition to demographic information on personal income, age, gender, marital status, and employment, we use information on </w:t>
      </w:r>
      <w:r w:rsidR="00DE2587">
        <w:rPr>
          <w:sz w:val="24"/>
          <w:lang w:val="en-US"/>
        </w:rPr>
        <w:t>self-reports o</w:t>
      </w:r>
      <w:r>
        <w:rPr>
          <w:sz w:val="24"/>
          <w:lang w:val="en-US"/>
        </w:rPr>
        <w:t>f</w:t>
      </w:r>
      <w:r w:rsidR="00DE2587">
        <w:rPr>
          <w:sz w:val="24"/>
          <w:lang w:val="en-US"/>
        </w:rPr>
        <w:t xml:space="preserve"> subjective well-being</w:t>
      </w:r>
      <w:r>
        <w:rPr>
          <w:sz w:val="24"/>
          <w:lang w:val="en-US"/>
        </w:rPr>
        <w:t xml:space="preserve"> and</w:t>
      </w:r>
      <w:r w:rsidR="00DE2587">
        <w:rPr>
          <w:sz w:val="24"/>
          <w:lang w:val="en-US"/>
        </w:rPr>
        <w:t xml:space="preserve"> sa</w:t>
      </w:r>
      <w:r w:rsidR="006C261E">
        <w:rPr>
          <w:sz w:val="24"/>
          <w:lang w:val="en-US"/>
        </w:rPr>
        <w:t xml:space="preserve">tisfaction with personal health, which we use to study the implications of health status on </w:t>
      </w:r>
      <w:r w:rsidR="00AF6DBE">
        <w:rPr>
          <w:sz w:val="24"/>
          <w:lang w:val="en-US"/>
        </w:rPr>
        <w:t xml:space="preserve">relative risk aversion or </w:t>
      </w:r>
      <w:r w:rsidR="006C261E">
        <w:rPr>
          <w:sz w:val="24"/>
          <w:lang w:val="en-US"/>
        </w:rPr>
        <w:t>the marginal utility of income.</w:t>
      </w:r>
    </w:p>
    <w:p w:rsidR="00DE2587" w:rsidRDefault="00DE2587" w:rsidP="00FF6405">
      <w:pPr>
        <w:spacing w:line="360" w:lineRule="auto"/>
        <w:ind w:firstLine="360"/>
        <w:jc w:val="both"/>
        <w:rPr>
          <w:sz w:val="24"/>
          <w:szCs w:val="24"/>
          <w:lang w:val="en-US"/>
        </w:rPr>
      </w:pPr>
      <w:r>
        <w:rPr>
          <w:sz w:val="24"/>
          <w:szCs w:val="24"/>
          <w:lang w:val="en-US"/>
        </w:rPr>
        <w:t xml:space="preserve">We provide estimates of the coefficient of relative risk aversion for five groups of countries categorized by </w:t>
      </w:r>
      <w:r w:rsidR="00B160D5">
        <w:rPr>
          <w:sz w:val="24"/>
          <w:szCs w:val="24"/>
          <w:lang w:val="en-US"/>
        </w:rPr>
        <w:t xml:space="preserve">the World Bank in terms of </w:t>
      </w:r>
      <w:r>
        <w:rPr>
          <w:sz w:val="24"/>
          <w:szCs w:val="24"/>
          <w:lang w:val="en-US"/>
        </w:rPr>
        <w:t>income per capita</w:t>
      </w:r>
      <w:r w:rsidR="00B160D5">
        <w:rPr>
          <w:sz w:val="24"/>
          <w:szCs w:val="24"/>
          <w:lang w:val="en-US"/>
        </w:rPr>
        <w:t>.</w:t>
      </w:r>
      <w:r>
        <w:rPr>
          <w:sz w:val="24"/>
          <w:szCs w:val="24"/>
          <w:lang w:val="en-US"/>
        </w:rPr>
        <w:t xml:space="preserve"> </w:t>
      </w:r>
      <w:r w:rsidR="009C7BA3">
        <w:rPr>
          <w:sz w:val="24"/>
          <w:szCs w:val="24"/>
          <w:lang w:val="en-US"/>
        </w:rPr>
        <w:t>For each of the surveys</w:t>
      </w:r>
      <w:r w:rsidR="00B160D5">
        <w:rPr>
          <w:sz w:val="24"/>
          <w:szCs w:val="24"/>
          <w:lang w:val="en-US"/>
        </w:rPr>
        <w:t xml:space="preserve"> we also provide </w:t>
      </w:r>
      <w:r>
        <w:rPr>
          <w:sz w:val="24"/>
          <w:szCs w:val="24"/>
          <w:lang w:val="en-US"/>
        </w:rPr>
        <w:t>overall estimate</w:t>
      </w:r>
      <w:r w:rsidR="00B160D5">
        <w:rPr>
          <w:sz w:val="24"/>
          <w:szCs w:val="24"/>
          <w:lang w:val="en-US"/>
        </w:rPr>
        <w:t>s</w:t>
      </w:r>
      <w:r>
        <w:rPr>
          <w:sz w:val="24"/>
          <w:szCs w:val="24"/>
          <w:lang w:val="en-US"/>
        </w:rPr>
        <w:t xml:space="preserve"> that use observations from all countries. </w:t>
      </w:r>
      <w:r w:rsidR="009C7BA3">
        <w:rPr>
          <w:sz w:val="24"/>
          <w:szCs w:val="24"/>
          <w:lang w:val="en-US"/>
        </w:rPr>
        <w:t xml:space="preserve">In general, the estimates using the Gallup World Poll are slightly lower than 1, whereas the estimates with the European Social Survey and the World Values Survey were slightly larger than 1. </w:t>
      </w:r>
      <w:r w:rsidR="00B160D5">
        <w:rPr>
          <w:sz w:val="24"/>
          <w:szCs w:val="24"/>
          <w:lang w:val="en-US"/>
        </w:rPr>
        <w:t xml:space="preserve">Using the Gallup data, </w:t>
      </w:r>
      <w:r w:rsidR="009C7BA3">
        <w:rPr>
          <w:sz w:val="24"/>
          <w:szCs w:val="24"/>
          <w:lang w:val="en-US"/>
        </w:rPr>
        <w:t xml:space="preserve">for example, </w:t>
      </w:r>
      <w:r w:rsidR="00B160D5">
        <w:rPr>
          <w:sz w:val="24"/>
          <w:szCs w:val="24"/>
          <w:lang w:val="en-US"/>
        </w:rPr>
        <w:t>we obtain an</w:t>
      </w:r>
      <w:r>
        <w:rPr>
          <w:sz w:val="24"/>
          <w:szCs w:val="24"/>
          <w:lang w:val="en-US"/>
        </w:rPr>
        <w:t xml:space="preserve"> overall estimate </w:t>
      </w:r>
      <w:r w:rsidR="00B160D5">
        <w:rPr>
          <w:sz w:val="24"/>
          <w:szCs w:val="24"/>
          <w:lang w:val="en-US"/>
        </w:rPr>
        <w:t>or relative risk aversion of 0.79</w:t>
      </w:r>
      <w:r w:rsidR="006164B9">
        <w:rPr>
          <w:sz w:val="24"/>
          <w:szCs w:val="24"/>
          <w:lang w:val="en-US"/>
        </w:rPr>
        <w:t>, and</w:t>
      </w:r>
      <w:r w:rsidR="00B160D5">
        <w:rPr>
          <w:sz w:val="24"/>
          <w:szCs w:val="24"/>
          <w:lang w:val="en-US"/>
        </w:rPr>
        <w:t xml:space="preserve"> the estimate is significantly different from 1.0, which corresponds to log utility. The overall estimate</w:t>
      </w:r>
      <w:r w:rsidR="00B27489">
        <w:rPr>
          <w:sz w:val="24"/>
          <w:szCs w:val="24"/>
          <w:lang w:val="en-US"/>
        </w:rPr>
        <w:t>s</w:t>
      </w:r>
      <w:r w:rsidR="00B160D5">
        <w:rPr>
          <w:sz w:val="24"/>
          <w:szCs w:val="24"/>
          <w:lang w:val="en-US"/>
        </w:rPr>
        <w:t xml:space="preserve"> with the European Social Survey</w:t>
      </w:r>
      <w:r w:rsidR="00B27489">
        <w:rPr>
          <w:sz w:val="24"/>
          <w:szCs w:val="24"/>
          <w:lang w:val="en-US"/>
        </w:rPr>
        <w:t xml:space="preserve"> and the World Values Survey </w:t>
      </w:r>
      <w:r w:rsidR="009C7BA3">
        <w:rPr>
          <w:sz w:val="24"/>
          <w:szCs w:val="24"/>
          <w:lang w:val="en-US"/>
        </w:rPr>
        <w:t>are slightly higher at</w:t>
      </w:r>
      <w:r w:rsidR="00B27489">
        <w:rPr>
          <w:sz w:val="24"/>
          <w:szCs w:val="24"/>
          <w:lang w:val="en-US"/>
        </w:rPr>
        <w:t xml:space="preserve"> 1.44 and 1.16, respectively, and </w:t>
      </w:r>
      <w:r w:rsidR="009C7BA3">
        <w:rPr>
          <w:sz w:val="24"/>
          <w:szCs w:val="24"/>
          <w:lang w:val="en-US"/>
        </w:rPr>
        <w:t>are</w:t>
      </w:r>
      <w:r w:rsidR="00B27489">
        <w:rPr>
          <w:sz w:val="24"/>
          <w:szCs w:val="24"/>
          <w:lang w:val="en-US"/>
        </w:rPr>
        <w:t xml:space="preserve"> also significant and different from 1. Using the Gallup data, the </w:t>
      </w:r>
      <w:r>
        <w:rPr>
          <w:sz w:val="24"/>
          <w:szCs w:val="24"/>
          <w:lang w:val="en-US"/>
        </w:rPr>
        <w:t xml:space="preserve">pooled estimates </w:t>
      </w:r>
      <w:r w:rsidR="00B27489">
        <w:rPr>
          <w:sz w:val="24"/>
          <w:szCs w:val="24"/>
          <w:lang w:val="en-US"/>
        </w:rPr>
        <w:t xml:space="preserve">for the various income country </w:t>
      </w:r>
      <w:r w:rsidR="006A2E98">
        <w:rPr>
          <w:sz w:val="24"/>
          <w:szCs w:val="24"/>
          <w:lang w:val="en-US"/>
        </w:rPr>
        <w:t>classes</w:t>
      </w:r>
      <w:r w:rsidR="00B27489">
        <w:rPr>
          <w:sz w:val="24"/>
          <w:szCs w:val="24"/>
          <w:lang w:val="en-US"/>
        </w:rPr>
        <w:t xml:space="preserve"> </w:t>
      </w:r>
      <w:r w:rsidR="006A2E98">
        <w:rPr>
          <w:sz w:val="24"/>
          <w:szCs w:val="24"/>
          <w:lang w:val="en-US"/>
        </w:rPr>
        <w:t>were mostly smaller than 1</w:t>
      </w:r>
      <w:r>
        <w:rPr>
          <w:sz w:val="24"/>
          <w:szCs w:val="24"/>
          <w:lang w:val="en-US"/>
        </w:rPr>
        <w:t>,</w:t>
      </w:r>
      <w:r w:rsidRPr="00E97B92">
        <w:rPr>
          <w:sz w:val="24"/>
          <w:szCs w:val="24"/>
          <w:lang w:val="en-US"/>
        </w:rPr>
        <w:t xml:space="preserve"> </w:t>
      </w:r>
      <w:r>
        <w:rPr>
          <w:sz w:val="24"/>
          <w:szCs w:val="24"/>
          <w:lang w:val="en-US"/>
        </w:rPr>
        <w:t>suggesting a lower degree of concavity than logarithmic utility</w:t>
      </w:r>
      <w:r w:rsidR="006A2E98">
        <w:rPr>
          <w:sz w:val="24"/>
          <w:szCs w:val="24"/>
          <w:lang w:val="en-US"/>
        </w:rPr>
        <w:t xml:space="preserve">. On the other hand, the estimates by income classes with the European Social Survey and the World Values Surveys were slightly larger than 1, suggesting more concavity than logarithm utility. </w:t>
      </w:r>
      <w:r w:rsidR="00BF4435">
        <w:rPr>
          <w:sz w:val="24"/>
          <w:szCs w:val="24"/>
          <w:lang w:val="en-US"/>
        </w:rPr>
        <w:t>T</w:t>
      </w:r>
      <w:r>
        <w:rPr>
          <w:sz w:val="24"/>
          <w:szCs w:val="24"/>
          <w:lang w:val="en-US"/>
        </w:rPr>
        <w:t>he estimate for the United States</w:t>
      </w:r>
      <w:r w:rsidR="006A2E98">
        <w:rPr>
          <w:sz w:val="24"/>
          <w:szCs w:val="24"/>
          <w:lang w:val="en-US"/>
        </w:rPr>
        <w:t xml:space="preserve"> using the Gallup data </w:t>
      </w:r>
      <w:r w:rsidR="009C7BA3">
        <w:rPr>
          <w:sz w:val="24"/>
          <w:szCs w:val="24"/>
          <w:lang w:val="en-US"/>
        </w:rPr>
        <w:t>is</w:t>
      </w:r>
      <w:r>
        <w:rPr>
          <w:sz w:val="24"/>
          <w:szCs w:val="24"/>
          <w:lang w:val="en-US"/>
        </w:rPr>
        <w:t xml:space="preserve"> </w:t>
      </w:r>
      <w:r w:rsidR="006A2E98">
        <w:rPr>
          <w:sz w:val="24"/>
          <w:szCs w:val="24"/>
          <w:lang w:val="en-US"/>
        </w:rPr>
        <w:t>1.</w:t>
      </w:r>
      <w:r w:rsidR="00497179">
        <w:rPr>
          <w:sz w:val="24"/>
          <w:szCs w:val="24"/>
          <w:lang w:val="en-US"/>
        </w:rPr>
        <w:t>48</w:t>
      </w:r>
      <w:r>
        <w:rPr>
          <w:sz w:val="24"/>
          <w:szCs w:val="24"/>
          <w:lang w:val="en-US"/>
        </w:rPr>
        <w:t xml:space="preserve">, which is similar to the estimates of Layard et al. </w:t>
      </w:r>
      <w:r w:rsidR="009C7BA3">
        <w:rPr>
          <w:sz w:val="24"/>
          <w:lang w:val="en-US"/>
        </w:rPr>
        <w:t>(2008);</w:t>
      </w:r>
      <w:r w:rsidR="00BF4435">
        <w:rPr>
          <w:sz w:val="24"/>
          <w:lang w:val="en-US"/>
        </w:rPr>
        <w:t xml:space="preserve"> the estimate for the United States using the World Value survey is 0.9. </w:t>
      </w:r>
      <w:r w:rsidR="006164B9">
        <w:rPr>
          <w:sz w:val="24"/>
          <w:lang w:val="en-US"/>
        </w:rPr>
        <w:t xml:space="preserve">However, </w:t>
      </w:r>
      <w:r w:rsidR="00BF4435">
        <w:rPr>
          <w:sz w:val="24"/>
          <w:lang w:val="en-US"/>
        </w:rPr>
        <w:t xml:space="preserve">using </w:t>
      </w:r>
      <w:r w:rsidR="006164B9">
        <w:rPr>
          <w:sz w:val="24"/>
          <w:lang w:val="en-US"/>
        </w:rPr>
        <w:t xml:space="preserve">either </w:t>
      </w:r>
      <w:r w:rsidR="00BF4435">
        <w:rPr>
          <w:sz w:val="24"/>
          <w:lang w:val="en-US"/>
        </w:rPr>
        <w:t>the Gallup or the World Value Survey</w:t>
      </w:r>
      <w:r w:rsidR="006164B9">
        <w:rPr>
          <w:sz w:val="24"/>
          <w:lang w:val="en-US"/>
        </w:rPr>
        <w:t>,</w:t>
      </w:r>
      <w:r w:rsidR="00BF4435">
        <w:rPr>
          <w:sz w:val="24"/>
          <w:lang w:val="en-US"/>
        </w:rPr>
        <w:t xml:space="preserve"> we can</w:t>
      </w:r>
      <w:r w:rsidR="006164B9">
        <w:rPr>
          <w:sz w:val="24"/>
          <w:lang w:val="en-US"/>
        </w:rPr>
        <w:t>not</w:t>
      </w:r>
      <w:r w:rsidR="00BF4435">
        <w:rPr>
          <w:sz w:val="24"/>
          <w:lang w:val="en-US"/>
        </w:rPr>
        <w:t xml:space="preserve"> reject the null of a relative risk aversion of 1 for the United Sates. </w:t>
      </w:r>
    </w:p>
    <w:p w:rsidR="00DE2587" w:rsidRDefault="00DE2587" w:rsidP="00FF6405">
      <w:pPr>
        <w:spacing w:line="360" w:lineRule="auto"/>
        <w:ind w:firstLine="360"/>
        <w:jc w:val="both"/>
        <w:rPr>
          <w:sz w:val="24"/>
          <w:lang w:val="en-US"/>
        </w:rPr>
      </w:pPr>
      <w:r>
        <w:rPr>
          <w:sz w:val="24"/>
          <w:szCs w:val="24"/>
          <w:lang w:val="en-US"/>
        </w:rPr>
        <w:t xml:space="preserve">We also analyze the effect of controlling for health state dependence on the estimates of relative risk aversion. We find that generally, the estimated relative risk aversion coefficients </w:t>
      </w:r>
      <w:r w:rsidR="009C7BA3">
        <w:rPr>
          <w:sz w:val="24"/>
          <w:szCs w:val="24"/>
          <w:lang w:val="en-US"/>
        </w:rPr>
        <w:t xml:space="preserve">for country groups </w:t>
      </w:r>
      <w:r>
        <w:rPr>
          <w:sz w:val="24"/>
          <w:szCs w:val="24"/>
          <w:lang w:val="en-US"/>
        </w:rPr>
        <w:t xml:space="preserve">decline when we control for the dependence of </w:t>
      </w:r>
      <w:r>
        <w:rPr>
          <w:sz w:val="24"/>
          <w:szCs w:val="24"/>
          <w:lang w:val="en-US"/>
        </w:rPr>
        <w:lastRenderedPageBreak/>
        <w:t xml:space="preserve">the utility function on health status. We also find, in contrast with </w:t>
      </w:r>
      <w:r w:rsidR="00A039E8">
        <w:rPr>
          <w:sz w:val="24"/>
          <w:lang w:val="en-US"/>
        </w:rPr>
        <w:t>Finkelstein et al. (2008)</w:t>
      </w:r>
      <w:r w:rsidR="006164B9">
        <w:rPr>
          <w:sz w:val="24"/>
          <w:lang w:val="en-US"/>
        </w:rPr>
        <w:t>,</w:t>
      </w:r>
      <w:r w:rsidR="00DE7AB1">
        <w:rPr>
          <w:sz w:val="24"/>
          <w:lang w:val="en-US"/>
        </w:rPr>
        <w:t xml:space="preserve"> </w:t>
      </w:r>
      <w:r>
        <w:rPr>
          <w:sz w:val="24"/>
          <w:lang w:val="en-US"/>
        </w:rPr>
        <w:t xml:space="preserve">that the marginal utility of income </w:t>
      </w:r>
      <w:r w:rsidRPr="006A2E98">
        <w:rPr>
          <w:i/>
          <w:sz w:val="24"/>
          <w:lang w:val="en-US"/>
        </w:rPr>
        <w:t>increases</w:t>
      </w:r>
      <w:r>
        <w:rPr>
          <w:sz w:val="24"/>
          <w:lang w:val="en-US"/>
        </w:rPr>
        <w:t xml:space="preserve"> when health deteriorates.</w:t>
      </w:r>
      <w:r w:rsidR="006C261E">
        <w:rPr>
          <w:sz w:val="24"/>
          <w:lang w:val="en-US"/>
        </w:rPr>
        <w:t xml:space="preserve"> </w:t>
      </w:r>
      <w:r w:rsidR="006C261E" w:rsidRPr="006A2E98">
        <w:rPr>
          <w:sz w:val="24"/>
          <w:lang w:val="en-US"/>
        </w:rPr>
        <w:t xml:space="preserve">This result holds across the </w:t>
      </w:r>
      <w:r w:rsidR="00350F66">
        <w:rPr>
          <w:sz w:val="24"/>
          <w:lang w:val="en-US"/>
        </w:rPr>
        <w:t xml:space="preserve">three </w:t>
      </w:r>
      <w:r w:rsidR="006C261E" w:rsidRPr="006A2E98">
        <w:rPr>
          <w:sz w:val="24"/>
          <w:lang w:val="en-US"/>
        </w:rPr>
        <w:t>different data sets we analyzed.</w:t>
      </w:r>
      <w:r w:rsidR="006C261E">
        <w:rPr>
          <w:sz w:val="24"/>
          <w:lang w:val="en-US"/>
        </w:rPr>
        <w:t xml:space="preserve"> </w:t>
      </w:r>
    </w:p>
    <w:p w:rsidR="00DE2587" w:rsidRDefault="00DE2587" w:rsidP="00DE2587">
      <w:pPr>
        <w:spacing w:line="360" w:lineRule="auto"/>
        <w:ind w:firstLine="360"/>
        <w:jc w:val="both"/>
        <w:rPr>
          <w:sz w:val="24"/>
          <w:szCs w:val="24"/>
          <w:lang w:val="en-US"/>
        </w:rPr>
      </w:pPr>
      <w:r>
        <w:rPr>
          <w:sz w:val="24"/>
          <w:szCs w:val="24"/>
          <w:lang w:val="en-US"/>
        </w:rPr>
        <w:t xml:space="preserve">In the next section we describe the data </w:t>
      </w:r>
      <w:r w:rsidR="006A2E98">
        <w:rPr>
          <w:sz w:val="24"/>
          <w:szCs w:val="24"/>
          <w:lang w:val="en-US"/>
        </w:rPr>
        <w:t xml:space="preserve">sets </w:t>
      </w:r>
      <w:r>
        <w:rPr>
          <w:sz w:val="24"/>
          <w:szCs w:val="24"/>
          <w:lang w:val="en-US"/>
        </w:rPr>
        <w:t>used in the analysis. In section 3 we present the methodology. We discuss the results in section 4, and we provide concluding comments in section 5.</w:t>
      </w:r>
    </w:p>
    <w:p w:rsidR="003575E6" w:rsidRDefault="003575E6" w:rsidP="00DE2587">
      <w:pPr>
        <w:spacing w:line="360" w:lineRule="auto"/>
        <w:ind w:firstLine="360"/>
        <w:jc w:val="both"/>
        <w:rPr>
          <w:sz w:val="24"/>
          <w:szCs w:val="24"/>
          <w:lang w:val="en-US"/>
        </w:rPr>
      </w:pPr>
    </w:p>
    <w:p w:rsidR="00DE2587" w:rsidRDefault="00DE2587" w:rsidP="0097439B">
      <w:pPr>
        <w:keepNext/>
        <w:numPr>
          <w:ilvl w:val="0"/>
          <w:numId w:val="1"/>
        </w:numPr>
        <w:spacing w:line="360" w:lineRule="auto"/>
        <w:jc w:val="both"/>
        <w:rPr>
          <w:b/>
          <w:sz w:val="24"/>
          <w:lang w:val="en-US"/>
        </w:rPr>
      </w:pPr>
      <w:r w:rsidRPr="00B05973">
        <w:rPr>
          <w:b/>
          <w:sz w:val="24"/>
          <w:lang w:val="en-US"/>
        </w:rPr>
        <w:t>Data</w:t>
      </w:r>
    </w:p>
    <w:p w:rsidR="00295085" w:rsidRPr="006C261E" w:rsidRDefault="00295085" w:rsidP="00295085">
      <w:pPr>
        <w:spacing w:line="360" w:lineRule="auto"/>
        <w:ind w:firstLine="708"/>
        <w:jc w:val="both"/>
        <w:rPr>
          <w:b/>
          <w:sz w:val="24"/>
          <w:lang w:val="en-US"/>
        </w:rPr>
      </w:pPr>
      <w:r w:rsidRPr="00295085">
        <w:rPr>
          <w:sz w:val="24"/>
          <w:lang w:val="en-US"/>
        </w:rPr>
        <w:t>We use data from the 2006 Gallup World Poll, the 2002-2006 European Social Survey (ESS), and the 1981-2008 World Values Survey (WVS).</w:t>
      </w:r>
      <w:r w:rsidRPr="006C261E">
        <w:rPr>
          <w:b/>
          <w:sz w:val="24"/>
          <w:lang w:val="en-US"/>
        </w:rPr>
        <w:t xml:space="preserve"> </w:t>
      </w:r>
      <w:r w:rsidRPr="00BF4435">
        <w:rPr>
          <w:sz w:val="24"/>
          <w:lang w:val="en-US"/>
        </w:rPr>
        <w:t xml:space="preserve">The main variables of interest are self-reported happiness or satisfaction with life, assessment of personal health, and data on household income. </w:t>
      </w:r>
      <w:r w:rsidR="006A2E98" w:rsidRPr="00BF4435">
        <w:rPr>
          <w:sz w:val="24"/>
          <w:lang w:val="en-US"/>
        </w:rPr>
        <w:t>We</w:t>
      </w:r>
      <w:r w:rsidRPr="00BF4435">
        <w:rPr>
          <w:sz w:val="24"/>
          <w:lang w:val="en-US"/>
        </w:rPr>
        <w:t xml:space="preserve"> also use </w:t>
      </w:r>
      <w:r w:rsidR="006164B9">
        <w:rPr>
          <w:sz w:val="24"/>
          <w:lang w:val="en-US"/>
        </w:rPr>
        <w:t xml:space="preserve">additional </w:t>
      </w:r>
      <w:r w:rsidRPr="00BF4435">
        <w:rPr>
          <w:sz w:val="24"/>
          <w:lang w:val="en-US"/>
        </w:rPr>
        <w:t>information on age, gender, marital status, employment status, and residence in urban areas.</w:t>
      </w:r>
    </w:p>
    <w:p w:rsidR="00DE2587" w:rsidRDefault="00DE2587" w:rsidP="00170593">
      <w:pPr>
        <w:spacing w:line="360" w:lineRule="auto"/>
        <w:jc w:val="both"/>
        <w:rPr>
          <w:b/>
          <w:sz w:val="24"/>
          <w:lang w:val="en-US"/>
        </w:rPr>
      </w:pPr>
    </w:p>
    <w:p w:rsidR="00DE2587" w:rsidRDefault="00DE2587" w:rsidP="00170593">
      <w:pPr>
        <w:spacing w:line="360" w:lineRule="auto"/>
        <w:jc w:val="both"/>
        <w:rPr>
          <w:b/>
          <w:sz w:val="24"/>
          <w:lang w:val="en-US"/>
        </w:rPr>
      </w:pPr>
      <w:r>
        <w:rPr>
          <w:b/>
          <w:sz w:val="24"/>
          <w:lang w:val="en-US"/>
        </w:rPr>
        <w:t>2.1</w:t>
      </w:r>
      <w:r>
        <w:rPr>
          <w:b/>
          <w:sz w:val="24"/>
          <w:lang w:val="en-US"/>
        </w:rPr>
        <w:tab/>
        <w:t>The Gallup World Poll</w:t>
      </w:r>
    </w:p>
    <w:p w:rsidR="00E67C31" w:rsidRDefault="00E67C31" w:rsidP="00170593">
      <w:pPr>
        <w:spacing w:line="360" w:lineRule="auto"/>
        <w:jc w:val="both"/>
        <w:rPr>
          <w:sz w:val="24"/>
          <w:lang w:val="en-US"/>
        </w:rPr>
      </w:pPr>
    </w:p>
    <w:p w:rsidR="00DE2587" w:rsidRDefault="00DE2587" w:rsidP="00170593">
      <w:pPr>
        <w:spacing w:line="360" w:lineRule="auto"/>
        <w:jc w:val="both"/>
        <w:rPr>
          <w:sz w:val="24"/>
          <w:lang w:val="en-US"/>
        </w:rPr>
      </w:pPr>
      <w:r w:rsidRPr="00B05973">
        <w:rPr>
          <w:sz w:val="24"/>
          <w:lang w:val="en-US"/>
        </w:rPr>
        <w:t xml:space="preserve">The Gallup World Poll is probably the world's most comprehensive database of behavioral economic measures. It surveys </w:t>
      </w:r>
      <w:r>
        <w:rPr>
          <w:sz w:val="24"/>
          <w:lang w:val="en-US"/>
        </w:rPr>
        <w:t>individuals</w:t>
      </w:r>
      <w:r w:rsidRPr="00B05973">
        <w:rPr>
          <w:sz w:val="24"/>
          <w:lang w:val="en-US"/>
        </w:rPr>
        <w:t xml:space="preserve"> in more than 140 countries representing about 95 percent of the world's adult population. </w:t>
      </w:r>
      <w:r>
        <w:rPr>
          <w:sz w:val="24"/>
          <w:lang w:val="en-US"/>
        </w:rPr>
        <w:t xml:space="preserve">In our study we use data on about 55,000 individuals from 103 countries. </w:t>
      </w:r>
    </w:p>
    <w:p w:rsidR="00DE2587" w:rsidRDefault="00DE2587" w:rsidP="00170593">
      <w:pPr>
        <w:spacing w:line="360" w:lineRule="auto"/>
        <w:ind w:firstLine="708"/>
        <w:jc w:val="both"/>
        <w:rPr>
          <w:sz w:val="24"/>
          <w:lang w:val="en-US"/>
        </w:rPr>
      </w:pPr>
      <w:r>
        <w:rPr>
          <w:sz w:val="24"/>
          <w:lang w:val="en-US"/>
        </w:rPr>
        <w:t xml:space="preserve">While </w:t>
      </w:r>
      <w:r w:rsidRPr="00B05973">
        <w:rPr>
          <w:sz w:val="24"/>
          <w:lang w:val="en-US"/>
        </w:rPr>
        <w:t>the Gallup World Poll</w:t>
      </w:r>
      <w:r>
        <w:rPr>
          <w:sz w:val="24"/>
          <w:lang w:val="en-US"/>
        </w:rPr>
        <w:t xml:space="preserve"> does not have a specific question on personal happiness (e.g., “</w:t>
      </w:r>
      <w:r w:rsidRPr="00790862">
        <w:rPr>
          <w:i/>
          <w:sz w:val="24"/>
          <w:lang w:val="en-US"/>
        </w:rPr>
        <w:t>How happy are you?</w:t>
      </w:r>
      <w:r>
        <w:rPr>
          <w:i/>
          <w:sz w:val="24"/>
          <w:lang w:val="en-US"/>
        </w:rPr>
        <w:t>”</w:t>
      </w:r>
      <w:r>
        <w:rPr>
          <w:sz w:val="24"/>
          <w:lang w:val="en-US"/>
        </w:rPr>
        <w:t>), it has a question on satisfaction with life which corresponds to a personal assessment of general well-being</w:t>
      </w:r>
      <w:r w:rsidRPr="00B05973">
        <w:rPr>
          <w:sz w:val="24"/>
          <w:lang w:val="en-US"/>
        </w:rPr>
        <w:t xml:space="preserve">. The question </w:t>
      </w:r>
      <w:r>
        <w:rPr>
          <w:sz w:val="24"/>
          <w:lang w:val="en-US"/>
        </w:rPr>
        <w:t xml:space="preserve">in the survey </w:t>
      </w:r>
      <w:r w:rsidRPr="00B05973">
        <w:rPr>
          <w:sz w:val="24"/>
          <w:lang w:val="en-US"/>
        </w:rPr>
        <w:t>reads “</w:t>
      </w:r>
      <w:r w:rsidRPr="00790862">
        <w:rPr>
          <w:i/>
          <w:sz w:val="24"/>
          <w:lang w:val="en-US"/>
        </w:rPr>
        <w:t>Please imagine a ladder/mountain with steps numbered from zero at the bottom to ten at the top. Suppose we say that the top of the ladder/mountain represents the best possible life for you and the bottom of the ladder/mountain represents the worst possible life for you. If the top step is 10 and the bottom step is 0, on which step of the ladder/mountain do you feel you personally stand at the present time?”</w:t>
      </w:r>
      <w:r w:rsidRPr="00B05973">
        <w:rPr>
          <w:sz w:val="24"/>
          <w:lang w:val="en-US"/>
        </w:rPr>
        <w:t xml:space="preserve"> </w:t>
      </w:r>
      <w:r>
        <w:rPr>
          <w:sz w:val="24"/>
          <w:lang w:val="en-US"/>
        </w:rPr>
        <w:t xml:space="preserve">We use the ordered responses to this question as our measure of reported well-being, and henceforth we do not distinguish it from happiness. </w:t>
      </w:r>
    </w:p>
    <w:p w:rsidR="00DE2587" w:rsidRPr="00B05973" w:rsidRDefault="00DE2587" w:rsidP="00170593">
      <w:pPr>
        <w:spacing w:line="360" w:lineRule="auto"/>
        <w:ind w:firstLine="708"/>
        <w:jc w:val="both"/>
        <w:rPr>
          <w:sz w:val="24"/>
          <w:lang w:val="en-US"/>
        </w:rPr>
      </w:pPr>
      <w:r>
        <w:rPr>
          <w:sz w:val="24"/>
          <w:lang w:val="en-US"/>
        </w:rPr>
        <w:t xml:space="preserve">As an indicator of health status we use </w:t>
      </w:r>
      <w:r w:rsidR="006073C6">
        <w:rPr>
          <w:sz w:val="24"/>
          <w:lang w:val="en-US"/>
        </w:rPr>
        <w:t>the</w:t>
      </w:r>
      <w:r>
        <w:rPr>
          <w:sz w:val="24"/>
          <w:lang w:val="en-US"/>
        </w:rPr>
        <w:t xml:space="preserve"> </w:t>
      </w:r>
      <w:r w:rsidR="006073C6">
        <w:rPr>
          <w:sz w:val="24"/>
          <w:lang w:val="en-US"/>
        </w:rPr>
        <w:t xml:space="preserve">question on satisfaction with personal health </w:t>
      </w:r>
      <w:r w:rsidR="006073C6" w:rsidRPr="00790862">
        <w:rPr>
          <w:i/>
          <w:sz w:val="24"/>
          <w:lang w:val="en-US"/>
        </w:rPr>
        <w:t>“Are you satisfied or dissatisfied with your personal health?”</w:t>
      </w:r>
      <w:r w:rsidRPr="00DD223C">
        <w:rPr>
          <w:i/>
          <w:sz w:val="24"/>
          <w:lang w:val="en-US"/>
        </w:rPr>
        <w:t xml:space="preserve"> </w:t>
      </w:r>
      <w:r>
        <w:rPr>
          <w:sz w:val="24"/>
          <w:lang w:val="en-US"/>
        </w:rPr>
        <w:t xml:space="preserve">which has “yes” or “no” as possible answers.  </w:t>
      </w:r>
    </w:p>
    <w:p w:rsidR="00DE2587" w:rsidRDefault="00DE2587" w:rsidP="0097439B">
      <w:pPr>
        <w:spacing w:line="360" w:lineRule="auto"/>
        <w:ind w:firstLine="567"/>
        <w:jc w:val="both"/>
        <w:rPr>
          <w:sz w:val="24"/>
          <w:lang w:val="en-US"/>
        </w:rPr>
      </w:pPr>
      <w:r>
        <w:rPr>
          <w:sz w:val="24"/>
          <w:lang w:val="en-US"/>
        </w:rPr>
        <w:lastRenderedPageBreak/>
        <w:t>Household income</w:t>
      </w:r>
      <w:r w:rsidRPr="00B05973">
        <w:rPr>
          <w:sz w:val="24"/>
          <w:lang w:val="en-US"/>
        </w:rPr>
        <w:t xml:space="preserve"> data </w:t>
      </w:r>
      <w:r>
        <w:rPr>
          <w:sz w:val="24"/>
          <w:lang w:val="en-US"/>
        </w:rPr>
        <w:t xml:space="preserve">are </w:t>
      </w:r>
      <w:r w:rsidRPr="00B05973">
        <w:rPr>
          <w:sz w:val="24"/>
          <w:lang w:val="en-US"/>
        </w:rPr>
        <w:t>reported in twenty nine brackets</w:t>
      </w:r>
      <w:r>
        <w:rPr>
          <w:sz w:val="24"/>
          <w:lang w:val="en-US"/>
        </w:rPr>
        <w:t>. W</w:t>
      </w:r>
      <w:r w:rsidRPr="00B05973">
        <w:rPr>
          <w:sz w:val="24"/>
          <w:lang w:val="en-US"/>
        </w:rPr>
        <w:t xml:space="preserve">e </w:t>
      </w:r>
      <w:r>
        <w:rPr>
          <w:sz w:val="24"/>
          <w:lang w:val="en-US"/>
        </w:rPr>
        <w:t>use the midpoint</w:t>
      </w:r>
      <w:r w:rsidRPr="00B05973">
        <w:rPr>
          <w:sz w:val="24"/>
          <w:lang w:val="en-US"/>
        </w:rPr>
        <w:t xml:space="preserve"> of the bracket</w:t>
      </w:r>
      <w:r>
        <w:rPr>
          <w:sz w:val="24"/>
          <w:lang w:val="en-US"/>
        </w:rPr>
        <w:t xml:space="preserve"> as the measure of income, and</w:t>
      </w:r>
      <w:r w:rsidRPr="00B05973">
        <w:rPr>
          <w:sz w:val="24"/>
          <w:lang w:val="en-US"/>
        </w:rPr>
        <w:t xml:space="preserve"> </w:t>
      </w:r>
      <w:r>
        <w:rPr>
          <w:sz w:val="24"/>
          <w:lang w:val="en-US"/>
        </w:rPr>
        <w:t>f</w:t>
      </w:r>
      <w:r w:rsidRPr="00B05973">
        <w:rPr>
          <w:sz w:val="24"/>
          <w:lang w:val="en-US"/>
        </w:rPr>
        <w:t xml:space="preserve">or the top bracket we </w:t>
      </w:r>
      <w:r>
        <w:rPr>
          <w:sz w:val="24"/>
          <w:lang w:val="en-US"/>
        </w:rPr>
        <w:t>use</w:t>
      </w:r>
      <w:r w:rsidRPr="00B05973">
        <w:rPr>
          <w:sz w:val="24"/>
          <w:lang w:val="en-US"/>
        </w:rPr>
        <w:t xml:space="preserve"> a value equal to double the previous </w:t>
      </w:r>
      <w:r>
        <w:rPr>
          <w:sz w:val="24"/>
          <w:lang w:val="en-US"/>
        </w:rPr>
        <w:t>midpoint</w:t>
      </w:r>
      <w:r w:rsidRPr="00B05973">
        <w:rPr>
          <w:sz w:val="24"/>
          <w:lang w:val="en-US"/>
        </w:rPr>
        <w:t xml:space="preserve"> value.</w:t>
      </w:r>
      <w:r>
        <w:rPr>
          <w:sz w:val="24"/>
          <w:lang w:val="en-US"/>
        </w:rPr>
        <w:t xml:space="preserve"> Although the data are supposed to represent monthly gross income, some </w:t>
      </w:r>
      <w:r w:rsidR="00DE7AB1">
        <w:rPr>
          <w:sz w:val="24"/>
          <w:lang w:val="en-US"/>
        </w:rPr>
        <w:t xml:space="preserve">countries report annual income. </w:t>
      </w:r>
      <w:r>
        <w:rPr>
          <w:sz w:val="24"/>
          <w:lang w:val="en-US"/>
        </w:rPr>
        <w:t>Furthermore, income data are reported in local currency for most countries (Gasparini et al. 2008). Therefore, for individuals in each country, we express the income measure in deviations from the country’s average.</w:t>
      </w:r>
      <w:r>
        <w:rPr>
          <w:rStyle w:val="Refdenotaalpie"/>
          <w:sz w:val="24"/>
          <w:lang w:val="en-US"/>
        </w:rPr>
        <w:footnoteReference w:id="4"/>
      </w:r>
      <w:r>
        <w:rPr>
          <w:sz w:val="24"/>
          <w:lang w:val="en-US"/>
        </w:rPr>
        <w:t xml:space="preserve"> We also eliminate outlier observations from the analysis as we describe in section 3.</w:t>
      </w:r>
    </w:p>
    <w:p w:rsidR="006C261E" w:rsidRDefault="006C261E" w:rsidP="0097439B">
      <w:pPr>
        <w:spacing w:line="360" w:lineRule="auto"/>
        <w:ind w:firstLine="567"/>
        <w:jc w:val="both"/>
        <w:rPr>
          <w:sz w:val="24"/>
          <w:lang w:val="en-US"/>
        </w:rPr>
      </w:pPr>
    </w:p>
    <w:p w:rsidR="006C261E" w:rsidRDefault="006C261E" w:rsidP="00CE3563">
      <w:pPr>
        <w:pStyle w:val="Prrafodelista"/>
        <w:numPr>
          <w:ilvl w:val="1"/>
          <w:numId w:val="6"/>
        </w:numPr>
        <w:spacing w:line="360" w:lineRule="auto"/>
        <w:jc w:val="both"/>
        <w:rPr>
          <w:b/>
          <w:sz w:val="24"/>
          <w:szCs w:val="24"/>
          <w:lang w:val="en-US"/>
        </w:rPr>
      </w:pPr>
      <w:r>
        <w:rPr>
          <w:b/>
          <w:sz w:val="24"/>
          <w:szCs w:val="24"/>
          <w:lang w:val="en-US"/>
        </w:rPr>
        <w:t>European Social Survey</w:t>
      </w:r>
    </w:p>
    <w:p w:rsidR="00295085" w:rsidRDefault="00295085" w:rsidP="00295085">
      <w:pPr>
        <w:pStyle w:val="Prrafodelista"/>
        <w:spacing w:line="360" w:lineRule="auto"/>
        <w:ind w:left="360"/>
        <w:jc w:val="both"/>
        <w:rPr>
          <w:b/>
          <w:sz w:val="24"/>
          <w:szCs w:val="24"/>
          <w:lang w:val="en-US"/>
        </w:rPr>
      </w:pPr>
    </w:p>
    <w:p w:rsidR="00295085" w:rsidRPr="00BF4435" w:rsidRDefault="00295085" w:rsidP="00295085">
      <w:pPr>
        <w:spacing w:line="360" w:lineRule="auto"/>
        <w:jc w:val="both"/>
        <w:rPr>
          <w:b/>
          <w:sz w:val="24"/>
          <w:szCs w:val="24"/>
          <w:lang w:val="en-US"/>
        </w:rPr>
      </w:pPr>
      <w:r w:rsidRPr="00BF4435">
        <w:rPr>
          <w:sz w:val="24"/>
          <w:szCs w:val="24"/>
          <w:lang w:val="en-US"/>
        </w:rPr>
        <w:t>The first three rounds of the European Social Survey conducted from 2002 to 2006 contain data on 27 countries. In our study we use data on 32,951 individuals.</w:t>
      </w:r>
    </w:p>
    <w:p w:rsidR="00295085" w:rsidRPr="00BF4435" w:rsidRDefault="00295085" w:rsidP="00295085">
      <w:pPr>
        <w:spacing w:line="360" w:lineRule="auto"/>
        <w:jc w:val="both"/>
        <w:rPr>
          <w:b/>
          <w:sz w:val="24"/>
          <w:szCs w:val="24"/>
          <w:lang w:val="en-US"/>
        </w:rPr>
      </w:pPr>
      <w:r w:rsidRPr="00BF4435">
        <w:rPr>
          <w:sz w:val="24"/>
          <w:szCs w:val="24"/>
          <w:lang w:val="en-US"/>
        </w:rPr>
        <w:tab/>
        <w:t>The European Social Survey asks respondents separate questions about their happiness and satisfaction with life. We use the happiness question that reads “</w:t>
      </w:r>
      <w:r w:rsidRPr="00BF4435">
        <w:rPr>
          <w:i/>
          <w:sz w:val="24"/>
          <w:szCs w:val="24"/>
          <w:lang w:val="en-US"/>
        </w:rPr>
        <w:t>Taking all things together, how happy would you say you are?</w:t>
      </w:r>
      <w:r w:rsidRPr="00BF4435">
        <w:rPr>
          <w:sz w:val="24"/>
          <w:szCs w:val="24"/>
          <w:lang w:val="en-US"/>
        </w:rPr>
        <w:t xml:space="preserve">” Respondents are asked to select a number from 0 (corresponding to </w:t>
      </w:r>
      <w:r w:rsidRPr="00BF4435">
        <w:rPr>
          <w:i/>
          <w:sz w:val="24"/>
          <w:szCs w:val="24"/>
          <w:lang w:val="en-US"/>
        </w:rPr>
        <w:t>extremely unhappy</w:t>
      </w:r>
      <w:r w:rsidRPr="00BF4435">
        <w:rPr>
          <w:sz w:val="24"/>
          <w:szCs w:val="24"/>
          <w:lang w:val="en-US"/>
        </w:rPr>
        <w:t xml:space="preserve">) to 10 (corresponding to </w:t>
      </w:r>
      <w:r w:rsidRPr="00BF4435">
        <w:rPr>
          <w:i/>
          <w:sz w:val="24"/>
          <w:szCs w:val="24"/>
          <w:lang w:val="en-US"/>
        </w:rPr>
        <w:t>extremely happy</w:t>
      </w:r>
      <w:r w:rsidRPr="00BF4435">
        <w:rPr>
          <w:sz w:val="24"/>
          <w:szCs w:val="24"/>
          <w:lang w:val="en-US"/>
        </w:rPr>
        <w:t xml:space="preserve">). </w:t>
      </w:r>
      <w:r w:rsidRPr="00BF4435">
        <w:rPr>
          <w:sz w:val="24"/>
          <w:lang w:val="en-US"/>
        </w:rPr>
        <w:t>We use the ordered responses to this question as our measure of reported well-being.</w:t>
      </w:r>
    </w:p>
    <w:p w:rsidR="00295085" w:rsidRPr="00BF4435" w:rsidRDefault="00295085" w:rsidP="00295085">
      <w:pPr>
        <w:spacing w:line="360" w:lineRule="auto"/>
        <w:ind w:firstLine="708"/>
        <w:jc w:val="both"/>
        <w:rPr>
          <w:sz w:val="24"/>
          <w:szCs w:val="24"/>
          <w:lang w:val="en-US"/>
        </w:rPr>
      </w:pPr>
      <w:r w:rsidRPr="00BF4435">
        <w:rPr>
          <w:sz w:val="24"/>
          <w:szCs w:val="24"/>
          <w:lang w:val="en-US"/>
        </w:rPr>
        <w:t>The health status indicator is derived from the European Social Survey question that reads “</w:t>
      </w:r>
      <w:r w:rsidRPr="00BF4435">
        <w:rPr>
          <w:i/>
          <w:sz w:val="24"/>
          <w:szCs w:val="24"/>
          <w:lang w:val="en-US"/>
        </w:rPr>
        <w:t>How is your health in general? Would you say it is… ?</w:t>
      </w:r>
      <w:r w:rsidRPr="00BF4435">
        <w:rPr>
          <w:sz w:val="24"/>
          <w:szCs w:val="24"/>
          <w:lang w:val="en-US"/>
        </w:rPr>
        <w:t xml:space="preserve">” Respondents are asked to select one of five responses: </w:t>
      </w:r>
      <w:r w:rsidRPr="00BF4435">
        <w:rPr>
          <w:i/>
          <w:sz w:val="24"/>
          <w:szCs w:val="24"/>
          <w:lang w:val="en-US"/>
        </w:rPr>
        <w:t>very good, good, fair, bad, very bad</w:t>
      </w:r>
      <w:r w:rsidRPr="00BF4435">
        <w:rPr>
          <w:sz w:val="24"/>
          <w:szCs w:val="24"/>
          <w:lang w:val="en-US"/>
        </w:rPr>
        <w:t xml:space="preserve">. We create an indicator that distinguishes </w:t>
      </w:r>
      <w:r w:rsidRPr="00BF4435">
        <w:rPr>
          <w:i/>
          <w:sz w:val="24"/>
          <w:szCs w:val="24"/>
          <w:lang w:val="en-US"/>
        </w:rPr>
        <w:t>fair</w:t>
      </w:r>
      <w:r w:rsidRPr="00BF4435">
        <w:rPr>
          <w:sz w:val="24"/>
          <w:szCs w:val="24"/>
          <w:lang w:val="en-US"/>
        </w:rPr>
        <w:t>,</w:t>
      </w:r>
      <w:r w:rsidRPr="00BF4435">
        <w:rPr>
          <w:i/>
          <w:sz w:val="24"/>
          <w:szCs w:val="24"/>
          <w:lang w:val="en-US"/>
        </w:rPr>
        <w:t xml:space="preserve"> bad </w:t>
      </w:r>
      <w:r w:rsidRPr="00BF4435">
        <w:rPr>
          <w:sz w:val="24"/>
          <w:szCs w:val="24"/>
          <w:lang w:val="en-US"/>
        </w:rPr>
        <w:t xml:space="preserve">and </w:t>
      </w:r>
      <w:r w:rsidRPr="00BF4435">
        <w:rPr>
          <w:i/>
          <w:sz w:val="24"/>
          <w:szCs w:val="24"/>
          <w:lang w:val="en-US"/>
        </w:rPr>
        <w:t>very bad</w:t>
      </w:r>
      <w:r w:rsidRPr="00BF4435">
        <w:rPr>
          <w:sz w:val="24"/>
          <w:szCs w:val="24"/>
          <w:lang w:val="en-US"/>
        </w:rPr>
        <w:t xml:space="preserve"> responses from </w:t>
      </w:r>
      <w:r w:rsidRPr="00BF4435">
        <w:rPr>
          <w:i/>
          <w:sz w:val="24"/>
          <w:szCs w:val="24"/>
          <w:lang w:val="en-US"/>
        </w:rPr>
        <w:t xml:space="preserve">good </w:t>
      </w:r>
      <w:r w:rsidRPr="00BF4435">
        <w:rPr>
          <w:sz w:val="24"/>
          <w:szCs w:val="24"/>
          <w:lang w:val="en-US"/>
        </w:rPr>
        <w:t>and</w:t>
      </w:r>
      <w:r w:rsidRPr="00BF4435">
        <w:rPr>
          <w:i/>
          <w:sz w:val="24"/>
          <w:szCs w:val="24"/>
          <w:lang w:val="en-US"/>
        </w:rPr>
        <w:t xml:space="preserve"> very good </w:t>
      </w:r>
      <w:r w:rsidRPr="00BF4435">
        <w:rPr>
          <w:sz w:val="24"/>
          <w:szCs w:val="24"/>
          <w:lang w:val="en-US"/>
        </w:rPr>
        <w:t xml:space="preserve">responses. </w:t>
      </w:r>
    </w:p>
    <w:p w:rsidR="00295085" w:rsidRPr="00BF4435" w:rsidRDefault="00295085" w:rsidP="00295085">
      <w:pPr>
        <w:spacing w:line="360" w:lineRule="auto"/>
        <w:ind w:firstLine="567"/>
        <w:jc w:val="both"/>
        <w:rPr>
          <w:sz w:val="24"/>
          <w:lang w:val="en-US"/>
        </w:rPr>
      </w:pPr>
      <w:r w:rsidRPr="00BF4435">
        <w:rPr>
          <w:sz w:val="24"/>
          <w:lang w:val="en-US"/>
        </w:rPr>
        <w:t>Household total net income data are reported in twelve brackets. The survey provides bracket intervals in Euro and when necessary, inserts corresponding national currencies. We use the midpoint of the bracket as the measure of income. For the bottom and top bracket we use a value equal to two-thirds the bottom-code value and one and a half times the top-code value, respectively. Similar to the procedure used with the Gallup data the income measure is expressed in deviations from the country’s average and outlier observations are excluded from the analysis.</w:t>
      </w:r>
    </w:p>
    <w:p w:rsidR="00295085" w:rsidRDefault="00295085" w:rsidP="00295085">
      <w:pPr>
        <w:pStyle w:val="Prrafodelista"/>
        <w:spacing w:line="360" w:lineRule="auto"/>
        <w:ind w:left="360"/>
        <w:jc w:val="both"/>
        <w:rPr>
          <w:b/>
          <w:sz w:val="24"/>
          <w:szCs w:val="24"/>
          <w:lang w:val="en-US"/>
        </w:rPr>
      </w:pPr>
    </w:p>
    <w:p w:rsidR="006C261E" w:rsidRDefault="006C261E" w:rsidP="00CE3563">
      <w:pPr>
        <w:pStyle w:val="Prrafodelista"/>
        <w:numPr>
          <w:ilvl w:val="1"/>
          <w:numId w:val="6"/>
        </w:numPr>
        <w:spacing w:line="360" w:lineRule="auto"/>
        <w:jc w:val="both"/>
        <w:rPr>
          <w:b/>
          <w:sz w:val="24"/>
          <w:szCs w:val="24"/>
          <w:lang w:val="en-US"/>
        </w:rPr>
      </w:pPr>
      <w:r>
        <w:rPr>
          <w:b/>
          <w:sz w:val="24"/>
          <w:szCs w:val="24"/>
          <w:lang w:val="en-US"/>
        </w:rPr>
        <w:lastRenderedPageBreak/>
        <w:t>World Values Survey</w:t>
      </w:r>
    </w:p>
    <w:p w:rsidR="00295085" w:rsidRDefault="00295085" w:rsidP="00295085">
      <w:pPr>
        <w:pStyle w:val="Prrafodelista"/>
        <w:spacing w:line="360" w:lineRule="auto"/>
        <w:ind w:left="360"/>
        <w:jc w:val="both"/>
        <w:rPr>
          <w:b/>
          <w:sz w:val="24"/>
          <w:szCs w:val="24"/>
          <w:lang w:val="en-US"/>
        </w:rPr>
      </w:pPr>
    </w:p>
    <w:p w:rsidR="00295085" w:rsidRPr="00BF4435" w:rsidRDefault="00295085" w:rsidP="00295085">
      <w:pPr>
        <w:pStyle w:val="Prrafodelista"/>
        <w:spacing w:line="360" w:lineRule="auto"/>
        <w:ind w:left="0"/>
        <w:jc w:val="both"/>
        <w:rPr>
          <w:b/>
          <w:sz w:val="24"/>
          <w:szCs w:val="24"/>
          <w:lang w:val="en-US"/>
        </w:rPr>
      </w:pPr>
      <w:r w:rsidRPr="00BF4435">
        <w:rPr>
          <w:sz w:val="24"/>
          <w:szCs w:val="24"/>
          <w:lang w:val="en-US"/>
        </w:rPr>
        <w:t>The World Values Survey</w:t>
      </w:r>
      <w:r w:rsidRPr="00CD2578">
        <w:rPr>
          <w:sz w:val="24"/>
          <w:lang w:val="en-US"/>
        </w:rPr>
        <w:t xml:space="preserve"> </w:t>
      </w:r>
      <w:r w:rsidR="006A2E98">
        <w:rPr>
          <w:sz w:val="24"/>
          <w:lang w:val="en-US"/>
        </w:rPr>
        <w:t>aggregated files contain</w:t>
      </w:r>
      <w:r>
        <w:rPr>
          <w:sz w:val="24"/>
          <w:lang w:val="en-US"/>
        </w:rPr>
        <w:t xml:space="preserve"> data across five waves from 1981 to 2008 for 87 countries. </w:t>
      </w:r>
      <w:r w:rsidRPr="00536481">
        <w:rPr>
          <w:sz w:val="24"/>
          <w:lang w:val="en-US"/>
        </w:rPr>
        <w:t xml:space="preserve">In our study we use data on </w:t>
      </w:r>
      <w:r>
        <w:rPr>
          <w:sz w:val="24"/>
          <w:lang w:val="en-US"/>
        </w:rPr>
        <w:t>38</w:t>
      </w:r>
      <w:r w:rsidRPr="00536481">
        <w:rPr>
          <w:sz w:val="24"/>
          <w:lang w:val="en-US"/>
        </w:rPr>
        <w:t>,</w:t>
      </w:r>
      <w:r>
        <w:rPr>
          <w:sz w:val="24"/>
          <w:lang w:val="en-US"/>
        </w:rPr>
        <w:t>5</w:t>
      </w:r>
      <w:r w:rsidRPr="00536481">
        <w:rPr>
          <w:sz w:val="24"/>
          <w:lang w:val="en-US"/>
        </w:rPr>
        <w:t xml:space="preserve">00 individuals from </w:t>
      </w:r>
      <w:r>
        <w:rPr>
          <w:sz w:val="24"/>
          <w:lang w:val="en-US"/>
        </w:rPr>
        <w:t xml:space="preserve">41 </w:t>
      </w:r>
      <w:r w:rsidRPr="00536481">
        <w:rPr>
          <w:sz w:val="24"/>
          <w:lang w:val="en-US"/>
        </w:rPr>
        <w:t>countries.</w:t>
      </w:r>
      <w:r>
        <w:rPr>
          <w:rStyle w:val="Refdenotaalpie"/>
          <w:sz w:val="24"/>
          <w:lang w:val="en-US"/>
        </w:rPr>
        <w:footnoteReference w:id="5"/>
      </w:r>
    </w:p>
    <w:p w:rsidR="00295085" w:rsidRPr="00BF4435" w:rsidRDefault="00295085" w:rsidP="00295085">
      <w:pPr>
        <w:spacing w:line="360" w:lineRule="auto"/>
        <w:ind w:firstLine="708"/>
        <w:jc w:val="both"/>
        <w:rPr>
          <w:sz w:val="24"/>
          <w:szCs w:val="24"/>
          <w:lang w:val="en-US"/>
        </w:rPr>
      </w:pPr>
      <w:r w:rsidRPr="00BF4435">
        <w:rPr>
          <w:sz w:val="24"/>
          <w:szCs w:val="24"/>
          <w:lang w:val="en-US"/>
        </w:rPr>
        <w:t>The World Values Survey asks respondents separate questions about their happiness and satisfaction with life. The responses to the satisfaction with life question are provided on an ordinal scale comparable to the measures of well-being used in the other surveys so we use this as our measure of reported well-being. The life satisfaction question reads “</w:t>
      </w:r>
      <w:r w:rsidRPr="00BF4435">
        <w:rPr>
          <w:i/>
          <w:sz w:val="24"/>
          <w:szCs w:val="24"/>
          <w:lang w:val="en-US"/>
        </w:rPr>
        <w:t>All things considered, how satisfied are you with your life as a whole these days?</w:t>
      </w:r>
      <w:r w:rsidRPr="00BF4435">
        <w:rPr>
          <w:sz w:val="24"/>
          <w:szCs w:val="24"/>
          <w:lang w:val="en-US"/>
        </w:rPr>
        <w:t xml:space="preserve">” Respondents are asked to select a number from 1 (corresponding to </w:t>
      </w:r>
      <w:r w:rsidRPr="00BF4435">
        <w:rPr>
          <w:i/>
          <w:sz w:val="24"/>
          <w:szCs w:val="24"/>
          <w:lang w:val="en-US"/>
        </w:rPr>
        <w:t>dissatisfied</w:t>
      </w:r>
      <w:r w:rsidRPr="00BF4435">
        <w:rPr>
          <w:sz w:val="24"/>
          <w:szCs w:val="24"/>
          <w:lang w:val="en-US"/>
        </w:rPr>
        <w:t xml:space="preserve">) to 10 (corresponding to </w:t>
      </w:r>
      <w:r w:rsidRPr="00BF4435">
        <w:rPr>
          <w:i/>
          <w:sz w:val="24"/>
          <w:szCs w:val="24"/>
          <w:lang w:val="en-US"/>
        </w:rPr>
        <w:t>satisfied</w:t>
      </w:r>
      <w:r w:rsidRPr="00BF4435">
        <w:rPr>
          <w:sz w:val="24"/>
          <w:szCs w:val="24"/>
          <w:lang w:val="en-US"/>
        </w:rPr>
        <w:t xml:space="preserve">). </w:t>
      </w:r>
    </w:p>
    <w:p w:rsidR="00295085" w:rsidRPr="00BF4435" w:rsidRDefault="00295085" w:rsidP="00295085">
      <w:pPr>
        <w:spacing w:line="360" w:lineRule="auto"/>
        <w:ind w:firstLine="708"/>
        <w:jc w:val="both"/>
        <w:rPr>
          <w:sz w:val="24"/>
          <w:szCs w:val="24"/>
          <w:lang w:val="en-US"/>
        </w:rPr>
      </w:pPr>
      <w:r w:rsidRPr="00BF4435">
        <w:rPr>
          <w:sz w:val="24"/>
          <w:szCs w:val="24"/>
          <w:lang w:val="en-US"/>
        </w:rPr>
        <w:t>The health status indicator is derived from the World Values Survey question that reads “</w:t>
      </w:r>
      <w:r w:rsidRPr="00BF4435">
        <w:rPr>
          <w:i/>
          <w:sz w:val="24"/>
          <w:szCs w:val="24"/>
          <w:lang w:val="en-US"/>
        </w:rPr>
        <w:t>All in all, how would you describe your state of health these day? Would you say it is… ?</w:t>
      </w:r>
      <w:r w:rsidRPr="00BF4435">
        <w:rPr>
          <w:sz w:val="24"/>
          <w:szCs w:val="24"/>
          <w:lang w:val="en-US"/>
        </w:rPr>
        <w:t xml:space="preserve">” Respondents are asked to select one of five responses: </w:t>
      </w:r>
      <w:r w:rsidRPr="00BF4435">
        <w:rPr>
          <w:i/>
          <w:sz w:val="24"/>
          <w:szCs w:val="24"/>
          <w:lang w:val="en-US"/>
        </w:rPr>
        <w:t>very good, good, fair, bad, very bad</w:t>
      </w:r>
      <w:r w:rsidRPr="00BF4435">
        <w:rPr>
          <w:sz w:val="24"/>
          <w:szCs w:val="24"/>
          <w:lang w:val="en-US"/>
        </w:rPr>
        <w:t xml:space="preserve">. We create an indicator that distinguishes </w:t>
      </w:r>
      <w:r w:rsidRPr="00BF4435">
        <w:rPr>
          <w:i/>
          <w:sz w:val="24"/>
          <w:szCs w:val="24"/>
          <w:lang w:val="en-US"/>
        </w:rPr>
        <w:t>fair</w:t>
      </w:r>
      <w:r w:rsidRPr="00BF4435">
        <w:rPr>
          <w:sz w:val="24"/>
          <w:szCs w:val="24"/>
          <w:lang w:val="en-US"/>
        </w:rPr>
        <w:t>,</w:t>
      </w:r>
      <w:r w:rsidRPr="00BF4435">
        <w:rPr>
          <w:i/>
          <w:sz w:val="24"/>
          <w:szCs w:val="24"/>
          <w:lang w:val="en-US"/>
        </w:rPr>
        <w:t xml:space="preserve"> bad </w:t>
      </w:r>
      <w:r w:rsidRPr="00BF4435">
        <w:rPr>
          <w:sz w:val="24"/>
          <w:szCs w:val="24"/>
          <w:lang w:val="en-US"/>
        </w:rPr>
        <w:t xml:space="preserve">and </w:t>
      </w:r>
      <w:r w:rsidRPr="00BF4435">
        <w:rPr>
          <w:i/>
          <w:sz w:val="24"/>
          <w:szCs w:val="24"/>
          <w:lang w:val="en-US"/>
        </w:rPr>
        <w:t>very bad</w:t>
      </w:r>
      <w:r w:rsidRPr="00BF4435">
        <w:rPr>
          <w:sz w:val="24"/>
          <w:szCs w:val="24"/>
          <w:lang w:val="en-US"/>
        </w:rPr>
        <w:t xml:space="preserve"> responses from </w:t>
      </w:r>
      <w:r w:rsidRPr="00BF4435">
        <w:rPr>
          <w:i/>
          <w:sz w:val="24"/>
          <w:szCs w:val="24"/>
          <w:lang w:val="en-US"/>
        </w:rPr>
        <w:t xml:space="preserve">good </w:t>
      </w:r>
      <w:r w:rsidRPr="00BF4435">
        <w:rPr>
          <w:sz w:val="24"/>
          <w:szCs w:val="24"/>
          <w:lang w:val="en-US"/>
        </w:rPr>
        <w:t>and</w:t>
      </w:r>
      <w:r w:rsidRPr="00BF4435">
        <w:rPr>
          <w:i/>
          <w:sz w:val="24"/>
          <w:szCs w:val="24"/>
          <w:lang w:val="en-US"/>
        </w:rPr>
        <w:t xml:space="preserve"> very good </w:t>
      </w:r>
      <w:r w:rsidRPr="00BF4435">
        <w:rPr>
          <w:sz w:val="24"/>
          <w:szCs w:val="24"/>
          <w:lang w:val="en-US"/>
        </w:rPr>
        <w:t xml:space="preserve">responses. </w:t>
      </w:r>
    </w:p>
    <w:p w:rsidR="00295085" w:rsidRPr="00BF4435" w:rsidRDefault="00295085" w:rsidP="00295085">
      <w:pPr>
        <w:spacing w:line="360" w:lineRule="auto"/>
        <w:ind w:firstLine="567"/>
        <w:jc w:val="both"/>
        <w:rPr>
          <w:sz w:val="24"/>
          <w:lang w:val="en-US"/>
        </w:rPr>
      </w:pPr>
      <w:r w:rsidRPr="00BF4435">
        <w:rPr>
          <w:sz w:val="24"/>
          <w:lang w:val="en-US"/>
        </w:rPr>
        <w:t>Household gross income data are reported in ten brackets. Specific bracket intervals in national currencies are not provided for all country-wave combinations. Data is excluded from the analysis when the country-specific bracket values are not known. We use the midpoint of the bracket as the measure of income. For the bottom and top bracket we use a value equal to two-thirds the bottom-code value and one and a half times the top-code value, respectively. Similar to the procedure used with the Gallup data the income measure is expressed in deviations from the country’s average and outlier observations are excluded from the analysis.</w:t>
      </w:r>
    </w:p>
    <w:p w:rsidR="00295085" w:rsidRPr="00BF4435" w:rsidRDefault="00295085" w:rsidP="00295085">
      <w:pPr>
        <w:rPr>
          <w:lang w:val="en-US"/>
        </w:rPr>
      </w:pPr>
    </w:p>
    <w:p w:rsidR="00DE2587" w:rsidRPr="00CE3563" w:rsidRDefault="00DE2587" w:rsidP="00CE3CBC">
      <w:pPr>
        <w:pStyle w:val="Prrafodelista"/>
        <w:keepNext/>
        <w:keepLines/>
        <w:numPr>
          <w:ilvl w:val="1"/>
          <w:numId w:val="6"/>
        </w:numPr>
        <w:spacing w:line="360" w:lineRule="auto"/>
        <w:jc w:val="both"/>
        <w:rPr>
          <w:b/>
          <w:sz w:val="24"/>
          <w:szCs w:val="24"/>
          <w:lang w:val="en-US"/>
        </w:rPr>
      </w:pPr>
      <w:r w:rsidRPr="00CE3563">
        <w:rPr>
          <w:b/>
          <w:sz w:val="24"/>
          <w:szCs w:val="24"/>
          <w:lang w:val="en-US"/>
        </w:rPr>
        <w:t>Summary Statistics</w:t>
      </w:r>
    </w:p>
    <w:p w:rsidR="00D91AE2" w:rsidRDefault="00D91AE2" w:rsidP="00CE3563">
      <w:pPr>
        <w:spacing w:line="360" w:lineRule="auto"/>
        <w:jc w:val="both"/>
        <w:rPr>
          <w:sz w:val="24"/>
          <w:lang w:val="en-US"/>
        </w:rPr>
      </w:pPr>
    </w:p>
    <w:p w:rsidR="00DE2587" w:rsidRDefault="00A07EA6" w:rsidP="00CE3563">
      <w:pPr>
        <w:spacing w:line="360" w:lineRule="auto"/>
        <w:jc w:val="both"/>
        <w:rPr>
          <w:sz w:val="24"/>
          <w:lang w:val="en-US"/>
        </w:rPr>
      </w:pPr>
      <w:r>
        <w:rPr>
          <w:sz w:val="24"/>
          <w:lang w:val="en-US"/>
        </w:rPr>
        <w:t xml:space="preserve">The top panel in </w:t>
      </w:r>
      <w:r w:rsidR="00DE2587" w:rsidRPr="0033181E">
        <w:rPr>
          <w:sz w:val="24"/>
          <w:lang w:val="en-US"/>
        </w:rPr>
        <w:t>Table 1 reports summary sta</w:t>
      </w:r>
      <w:r w:rsidR="00DE2587">
        <w:rPr>
          <w:sz w:val="24"/>
          <w:lang w:val="en-US"/>
        </w:rPr>
        <w:t xml:space="preserve">tistics </w:t>
      </w:r>
      <w:r w:rsidR="00993E60">
        <w:rPr>
          <w:sz w:val="24"/>
          <w:lang w:val="en-US"/>
        </w:rPr>
        <w:t xml:space="preserve">from the Gallup World Poll </w:t>
      </w:r>
      <w:r w:rsidR="00DE2587">
        <w:rPr>
          <w:sz w:val="24"/>
          <w:lang w:val="en-US"/>
        </w:rPr>
        <w:t xml:space="preserve">for the key variables in our estimations. In </w:t>
      </w:r>
      <w:r w:rsidR="00993E60">
        <w:rPr>
          <w:sz w:val="24"/>
          <w:lang w:val="en-US"/>
        </w:rPr>
        <w:t>the</w:t>
      </w:r>
      <w:r w:rsidR="00DE2587">
        <w:rPr>
          <w:sz w:val="24"/>
          <w:lang w:val="en-US"/>
        </w:rPr>
        <w:t xml:space="preserve"> baseline estimation</w:t>
      </w:r>
      <w:r w:rsidR="00993E60">
        <w:rPr>
          <w:sz w:val="24"/>
          <w:lang w:val="en-US"/>
        </w:rPr>
        <w:t>s</w:t>
      </w:r>
      <w:r w:rsidR="00DE2587">
        <w:rPr>
          <w:sz w:val="24"/>
          <w:lang w:val="en-US"/>
        </w:rPr>
        <w:t xml:space="preserve"> we used data from 103 countries and 54,6</w:t>
      </w:r>
      <w:r w:rsidR="00993E60">
        <w:rPr>
          <w:sz w:val="24"/>
          <w:lang w:val="en-US"/>
        </w:rPr>
        <w:t>24</w:t>
      </w:r>
      <w:r w:rsidR="00DE2587">
        <w:rPr>
          <w:sz w:val="24"/>
          <w:lang w:val="en-US"/>
        </w:rPr>
        <w:t xml:space="preserve"> individual observations. The average individual has a reported happiness level of 5.5 in the 0-10 scale, with a standard deviation of 2.2. About 2</w:t>
      </w:r>
      <w:r w:rsidR="00993E60">
        <w:rPr>
          <w:sz w:val="24"/>
          <w:lang w:val="en-US"/>
        </w:rPr>
        <w:t>2</w:t>
      </w:r>
      <w:r w:rsidR="00DE2587">
        <w:rPr>
          <w:sz w:val="24"/>
          <w:lang w:val="en-US"/>
        </w:rPr>
        <w:t xml:space="preserve">% of </w:t>
      </w:r>
      <w:r w:rsidR="00DE2587">
        <w:rPr>
          <w:sz w:val="24"/>
          <w:lang w:val="en-US"/>
        </w:rPr>
        <w:lastRenderedPageBreak/>
        <w:t xml:space="preserve">individuals in </w:t>
      </w:r>
      <w:r w:rsidR="00993E60">
        <w:rPr>
          <w:sz w:val="24"/>
          <w:lang w:val="en-US"/>
        </w:rPr>
        <w:t>Gallup</w:t>
      </w:r>
      <w:r w:rsidR="00DE2587">
        <w:rPr>
          <w:sz w:val="24"/>
          <w:lang w:val="en-US"/>
        </w:rPr>
        <w:t xml:space="preserve"> reported dissatisfaction with personal health. </w:t>
      </w:r>
      <w:r w:rsidR="00993E60">
        <w:rPr>
          <w:sz w:val="24"/>
          <w:lang w:val="en-US"/>
        </w:rPr>
        <w:t>The</w:t>
      </w:r>
      <w:r w:rsidR="00DE2587">
        <w:rPr>
          <w:sz w:val="24"/>
          <w:lang w:val="en-US"/>
        </w:rPr>
        <w:t xml:space="preserve"> database is composed of adult individuals with an average age of 42.2 years and with a slightly larger presence of women (55%) than men (45%). About 70% of individuals in our sample are married, less than half live in an urban setting (44%), and 60% are employed. </w:t>
      </w:r>
    </w:p>
    <w:p w:rsidR="00DE2587" w:rsidRDefault="008C75A1" w:rsidP="00CE3563">
      <w:pPr>
        <w:spacing w:line="360" w:lineRule="auto"/>
        <w:ind w:firstLine="708"/>
        <w:jc w:val="both"/>
        <w:rPr>
          <w:sz w:val="24"/>
          <w:lang w:val="en-US"/>
        </w:rPr>
      </w:pPr>
      <w:r>
        <w:rPr>
          <w:sz w:val="24"/>
          <w:lang w:val="en-US"/>
        </w:rPr>
        <w:t xml:space="preserve">The middle </w:t>
      </w:r>
      <w:r w:rsidR="00A07EA6">
        <w:rPr>
          <w:sz w:val="24"/>
          <w:lang w:val="en-US"/>
        </w:rPr>
        <w:t xml:space="preserve">panel </w:t>
      </w:r>
      <w:r w:rsidR="00DE2587">
        <w:rPr>
          <w:sz w:val="24"/>
          <w:lang w:val="en-US"/>
        </w:rPr>
        <w:t xml:space="preserve">presents similar summary statistics computed </w:t>
      </w:r>
      <w:r w:rsidR="00993E60">
        <w:rPr>
          <w:sz w:val="24"/>
          <w:lang w:val="en-US"/>
        </w:rPr>
        <w:t>among</w:t>
      </w:r>
      <w:r w:rsidR="00DE2587">
        <w:rPr>
          <w:sz w:val="24"/>
          <w:lang w:val="en-US"/>
        </w:rPr>
        <w:t xml:space="preserve"> individuals </w:t>
      </w:r>
      <w:r w:rsidR="00993E60">
        <w:rPr>
          <w:sz w:val="24"/>
          <w:lang w:val="en-US"/>
        </w:rPr>
        <w:t>in the European Social Survey. In the baseline estimations we used data from 27 countries and 32,951 individuals. The average reported happiness was 7.4 in the 0-10 scale, with a standard deviation of 1.8. About 23% of individuals in the ESS reported dissatisfaction with personal health. The average age is 42.1 years, with a smaller presence of women (48%) than in the Gallup data. About 66% of individuals in the sample are married, 68% live in an urban setting, and 92% are employed.</w:t>
      </w:r>
    </w:p>
    <w:p w:rsidR="00DE2587" w:rsidRDefault="00A07EA6" w:rsidP="00CE3563">
      <w:pPr>
        <w:spacing w:line="360" w:lineRule="auto"/>
        <w:ind w:firstLine="708"/>
        <w:jc w:val="both"/>
        <w:rPr>
          <w:sz w:val="24"/>
          <w:lang w:val="en-US"/>
        </w:rPr>
      </w:pPr>
      <w:r>
        <w:rPr>
          <w:sz w:val="24"/>
          <w:lang w:val="en-US"/>
        </w:rPr>
        <w:t xml:space="preserve">The bottom panel </w:t>
      </w:r>
      <w:r w:rsidR="00497179">
        <w:rPr>
          <w:sz w:val="24"/>
          <w:lang w:val="en-US"/>
        </w:rPr>
        <w:t>presents the corresponding statistics in the World Values Survey. This data set has information on 38,500 individuals in 41 countries. The average reported happiness was 6.8 in the 0-10 scale, with a standard deviation of 2.4. A larger proportion than in the Gallup and ESS report dissatisfaction with personal health (33%). The average age of 41.2 years is similar, as is the proportion of women (52%). However, the proportion of married individuals is somewhat higher (79%) while the proportion of employed individuals is smaller (68%).</w:t>
      </w:r>
    </w:p>
    <w:p w:rsidR="00000000" w:rsidRDefault="00497179">
      <w:pPr>
        <w:spacing w:line="360" w:lineRule="auto"/>
        <w:ind w:firstLine="708"/>
        <w:jc w:val="both"/>
        <w:rPr>
          <w:sz w:val="24"/>
          <w:lang w:val="en-US"/>
        </w:rPr>
      </w:pPr>
      <w:r>
        <w:rPr>
          <w:sz w:val="24"/>
          <w:lang w:val="en-US"/>
        </w:rPr>
        <w:t>In these tables the income variable is expressed in deviations from the country’s average, and because we trimmed outlier observations, the reported means in each data set may differ from 100%.</w:t>
      </w:r>
    </w:p>
    <w:p w:rsidR="00A07EA6" w:rsidRDefault="00A07EA6" w:rsidP="00A07EA6">
      <w:pPr>
        <w:spacing w:line="360" w:lineRule="auto"/>
        <w:ind w:left="360"/>
        <w:jc w:val="center"/>
        <w:rPr>
          <w:sz w:val="24"/>
          <w:lang w:val="en-US"/>
        </w:rPr>
      </w:pPr>
      <w:r>
        <w:rPr>
          <w:sz w:val="24"/>
          <w:lang w:val="en-US"/>
        </w:rPr>
        <w:t>[Table 1 about here]</w:t>
      </w:r>
    </w:p>
    <w:p w:rsidR="00497179" w:rsidRDefault="00497179" w:rsidP="006A7B4F">
      <w:pPr>
        <w:spacing w:line="360" w:lineRule="auto"/>
        <w:jc w:val="both"/>
        <w:rPr>
          <w:sz w:val="24"/>
          <w:lang w:val="en-US"/>
        </w:rPr>
      </w:pPr>
    </w:p>
    <w:p w:rsidR="00DE2587" w:rsidRDefault="00DE2587" w:rsidP="00CE3563">
      <w:pPr>
        <w:pStyle w:val="Prrafodelista"/>
        <w:numPr>
          <w:ilvl w:val="0"/>
          <w:numId w:val="6"/>
        </w:numPr>
        <w:spacing w:line="360" w:lineRule="auto"/>
        <w:jc w:val="both"/>
        <w:rPr>
          <w:b/>
          <w:sz w:val="24"/>
          <w:lang w:val="en-US"/>
        </w:rPr>
      </w:pPr>
      <w:r w:rsidRPr="0097439B">
        <w:rPr>
          <w:b/>
          <w:sz w:val="24"/>
          <w:lang w:val="en-US"/>
        </w:rPr>
        <w:t>Methodology</w:t>
      </w:r>
    </w:p>
    <w:p w:rsidR="00DE2587" w:rsidRDefault="00DE2587" w:rsidP="0097439B">
      <w:pPr>
        <w:pStyle w:val="Prrafodelista"/>
        <w:spacing w:line="360" w:lineRule="auto"/>
        <w:ind w:left="360"/>
        <w:jc w:val="both"/>
        <w:rPr>
          <w:b/>
          <w:sz w:val="24"/>
          <w:lang w:val="en-US"/>
        </w:rPr>
      </w:pPr>
    </w:p>
    <w:p w:rsidR="00DE2587" w:rsidRPr="00FB349C" w:rsidRDefault="00DE2587" w:rsidP="00FB349C">
      <w:pPr>
        <w:pStyle w:val="Prrafodelista"/>
        <w:numPr>
          <w:ilvl w:val="1"/>
          <w:numId w:val="8"/>
        </w:numPr>
        <w:spacing w:line="360" w:lineRule="auto"/>
        <w:jc w:val="both"/>
        <w:rPr>
          <w:b/>
          <w:sz w:val="24"/>
          <w:lang w:val="en-US"/>
        </w:rPr>
      </w:pPr>
      <w:r w:rsidRPr="00FB349C">
        <w:rPr>
          <w:b/>
          <w:sz w:val="24"/>
          <w:lang w:val="en-US"/>
        </w:rPr>
        <w:t>Utility function</w:t>
      </w:r>
    </w:p>
    <w:p w:rsidR="00E67C31" w:rsidRDefault="00E67C31" w:rsidP="00A82C65">
      <w:pPr>
        <w:spacing w:line="360" w:lineRule="auto"/>
        <w:ind w:firstLine="567"/>
        <w:jc w:val="both"/>
        <w:rPr>
          <w:sz w:val="24"/>
          <w:lang w:val="en-US"/>
        </w:rPr>
      </w:pPr>
    </w:p>
    <w:p w:rsidR="00000000" w:rsidRDefault="00DE2587">
      <w:pPr>
        <w:spacing w:line="360" w:lineRule="auto"/>
        <w:jc w:val="both"/>
        <w:rPr>
          <w:sz w:val="24"/>
          <w:lang w:val="en-US"/>
        </w:rPr>
      </w:pPr>
      <w:r>
        <w:rPr>
          <w:sz w:val="24"/>
          <w:lang w:val="en-US"/>
        </w:rPr>
        <w:t>In this paper we follow a common assumption in theoretical and applied work and assume a constant relative risk aversion utility function with respect to income (a proxy for consumption):</w:t>
      </w:r>
    </w:p>
    <w:p w:rsidR="00DE2587" w:rsidRDefault="00DE2587" w:rsidP="00A82C65">
      <w:pPr>
        <w:spacing w:line="360" w:lineRule="auto"/>
        <w:ind w:firstLine="567"/>
        <w:jc w:val="both"/>
        <w:rPr>
          <w:sz w:val="24"/>
          <w:lang w:val="en-US"/>
        </w:rPr>
      </w:pPr>
    </w:p>
    <w:p w:rsidR="00DE2587" w:rsidRDefault="00DE2587" w:rsidP="00DE7AB1">
      <w:pPr>
        <w:spacing w:line="360" w:lineRule="auto"/>
        <w:jc w:val="center"/>
        <w:rPr>
          <w:sz w:val="24"/>
          <w:lang w:val="en-US"/>
        </w:rPr>
      </w:pPr>
      <w:r w:rsidRPr="00595F80">
        <w:rPr>
          <w:position w:val="-44"/>
          <w:sz w:val="24"/>
          <w:lang w:val="en-US"/>
        </w:rPr>
        <w:object w:dxaOrig="2600"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48.75pt" o:ole="" fillcolor="window">
            <v:imagedata r:id="rId14" o:title=""/>
          </v:shape>
          <o:OLEObject Type="Embed" ProgID="Equation.3" ShapeID="_x0000_i1025" DrawAspect="Content" ObjectID="_1392535477" r:id="rId15"/>
        </w:object>
      </w:r>
      <w:r w:rsidRPr="00B05973">
        <w:rPr>
          <w:sz w:val="24"/>
          <w:lang w:val="en-US"/>
        </w:rPr>
        <w:tab/>
      </w:r>
      <w:r w:rsidRPr="00B05973">
        <w:rPr>
          <w:sz w:val="24"/>
          <w:lang w:val="en-US"/>
        </w:rPr>
        <w:tab/>
      </w:r>
      <w:r>
        <w:rPr>
          <w:sz w:val="24"/>
          <w:lang w:val="en-US"/>
        </w:rPr>
        <w:tab/>
      </w:r>
      <w:r w:rsidRPr="00B05973">
        <w:rPr>
          <w:sz w:val="24"/>
          <w:lang w:val="en-US"/>
        </w:rPr>
        <w:tab/>
      </w:r>
      <w:r>
        <w:rPr>
          <w:sz w:val="24"/>
          <w:lang w:val="en-US"/>
        </w:rPr>
        <w:tab/>
      </w:r>
      <w:r>
        <w:rPr>
          <w:sz w:val="24"/>
          <w:lang w:val="en-US"/>
        </w:rPr>
        <w:tab/>
      </w:r>
      <w:r w:rsidRPr="00B05973">
        <w:rPr>
          <w:sz w:val="24"/>
          <w:lang w:val="en-US"/>
        </w:rPr>
        <w:tab/>
      </w:r>
      <w:r w:rsidRPr="00B05973">
        <w:rPr>
          <w:sz w:val="24"/>
          <w:lang w:val="en-US"/>
        </w:rPr>
        <w:tab/>
        <w:t>(</w:t>
      </w:r>
      <w:r w:rsidRPr="00DE7AB1">
        <w:rPr>
          <w:rFonts w:ascii="Book Antiqua" w:hAnsi="Book Antiqua"/>
          <w:sz w:val="24"/>
          <w:lang w:val="en-US"/>
        </w:rPr>
        <w:t>1</w:t>
      </w:r>
      <w:r w:rsidRPr="00B05973">
        <w:rPr>
          <w:sz w:val="24"/>
          <w:lang w:val="en-US"/>
        </w:rPr>
        <w:t>)</w:t>
      </w:r>
    </w:p>
    <w:p w:rsidR="00DE2587" w:rsidRDefault="00DE2587" w:rsidP="00790862">
      <w:pPr>
        <w:spacing w:line="360" w:lineRule="auto"/>
        <w:jc w:val="both"/>
        <w:rPr>
          <w:sz w:val="24"/>
          <w:lang w:val="en-US"/>
        </w:rPr>
      </w:pPr>
    </w:p>
    <w:p w:rsidR="00DE2587" w:rsidRDefault="00DE2587" w:rsidP="00790862">
      <w:pPr>
        <w:spacing w:line="360" w:lineRule="auto"/>
        <w:jc w:val="both"/>
        <w:rPr>
          <w:sz w:val="24"/>
          <w:szCs w:val="24"/>
          <w:lang w:val="en-US"/>
        </w:rPr>
      </w:pPr>
      <w:r w:rsidRPr="00B05973">
        <w:rPr>
          <w:sz w:val="24"/>
          <w:lang w:val="en-US"/>
        </w:rPr>
        <w:t xml:space="preserve">where </w:t>
      </w:r>
      <w:r w:rsidRPr="00B05973">
        <w:rPr>
          <w:i/>
          <w:sz w:val="24"/>
          <w:lang w:val="en-US"/>
        </w:rPr>
        <w:t>y</w:t>
      </w:r>
      <w:r w:rsidRPr="00B05973">
        <w:rPr>
          <w:sz w:val="24"/>
          <w:lang w:val="en-US"/>
        </w:rPr>
        <w:t xml:space="preserve"> </w:t>
      </w:r>
      <w:r>
        <w:rPr>
          <w:sz w:val="24"/>
          <w:lang w:val="en-US"/>
        </w:rPr>
        <w:t>represents</w:t>
      </w:r>
      <w:r w:rsidRPr="00B05973">
        <w:rPr>
          <w:sz w:val="24"/>
          <w:lang w:val="en-US"/>
        </w:rPr>
        <w:t xml:space="preserve"> income</w:t>
      </w:r>
      <w:r>
        <w:rPr>
          <w:sz w:val="24"/>
          <w:lang w:val="en-US"/>
        </w:rPr>
        <w:t>,</w:t>
      </w:r>
      <w:r w:rsidRPr="00B05973">
        <w:rPr>
          <w:sz w:val="24"/>
          <w:lang w:val="en-US"/>
        </w:rPr>
        <w:t xml:space="preserve"> and </w:t>
      </w:r>
      <w:r w:rsidRPr="00B05973">
        <w:rPr>
          <w:position w:val="-10"/>
          <w:sz w:val="24"/>
          <w:lang w:val="en-US"/>
        </w:rPr>
        <w:object w:dxaOrig="240" w:dyaOrig="260">
          <v:shape id="_x0000_i1026" type="#_x0000_t75" style="width:12pt;height:12.75pt" o:ole="" fillcolor="window">
            <v:imagedata r:id="rId16" o:title=""/>
          </v:shape>
          <o:OLEObject Type="Embed" ProgID="Equation.3" ShapeID="_x0000_i1026" DrawAspect="Content" ObjectID="_1392535478" r:id="rId17"/>
        </w:object>
      </w:r>
      <w:r w:rsidRPr="00B05973">
        <w:rPr>
          <w:sz w:val="24"/>
          <w:lang w:val="en-US"/>
        </w:rPr>
        <w:t xml:space="preserve"> </w:t>
      </w:r>
      <w:r>
        <w:rPr>
          <w:sz w:val="24"/>
          <w:lang w:val="en-US"/>
        </w:rPr>
        <w:t xml:space="preserve">corresponds to the </w:t>
      </w:r>
      <w:r>
        <w:rPr>
          <w:sz w:val="24"/>
          <w:szCs w:val="24"/>
          <w:lang w:val="en-US"/>
        </w:rPr>
        <w:t>Arrow-</w:t>
      </w:r>
      <w:r w:rsidRPr="008337B3">
        <w:rPr>
          <w:sz w:val="24"/>
          <w:szCs w:val="24"/>
          <w:lang w:val="en-US"/>
        </w:rPr>
        <w:t xml:space="preserve">Pratt </w:t>
      </w:r>
      <w:r>
        <w:rPr>
          <w:sz w:val="24"/>
          <w:lang w:val="en-US"/>
        </w:rPr>
        <w:t>coefficient of relative risk aversion</w:t>
      </w:r>
      <w:r w:rsidRPr="008337B3">
        <w:rPr>
          <w:sz w:val="24"/>
          <w:szCs w:val="24"/>
          <w:lang w:val="en-US"/>
        </w:rPr>
        <w:t xml:space="preserve"> </w:t>
      </w:r>
      <w:r w:rsidRPr="008337B3">
        <w:rPr>
          <w:position w:val="-10"/>
          <w:sz w:val="24"/>
          <w:szCs w:val="24"/>
          <w:lang w:val="en-US"/>
        </w:rPr>
        <w:object w:dxaOrig="260" w:dyaOrig="340">
          <v:shape id="_x0000_i1027" type="#_x0000_t75" style="width:12.75pt;height:16.5pt" o:ole="" fillcolor="window">
            <v:imagedata r:id="rId18" o:title=""/>
          </v:shape>
          <o:OLEObject Type="Embed" ProgID="Equation.3" ShapeID="_x0000_i1027" DrawAspect="Content" ObjectID="_1392535479" r:id="rId19"/>
        </w:object>
      </w:r>
      <w:r w:rsidRPr="008337B3">
        <w:rPr>
          <w:sz w:val="24"/>
          <w:szCs w:val="24"/>
          <w:lang w:val="en-US"/>
        </w:rPr>
        <w:t>.</w:t>
      </w:r>
    </w:p>
    <w:p w:rsidR="00DE2587" w:rsidRDefault="00DE2587" w:rsidP="00DE7AB1">
      <w:pPr>
        <w:spacing w:line="360" w:lineRule="auto"/>
        <w:jc w:val="center"/>
        <w:rPr>
          <w:sz w:val="24"/>
          <w:szCs w:val="24"/>
          <w:lang w:val="en-US"/>
        </w:rPr>
      </w:pPr>
    </w:p>
    <w:p w:rsidR="00DE2587" w:rsidRDefault="00DE2587" w:rsidP="00DE7AB1">
      <w:pPr>
        <w:spacing w:line="360" w:lineRule="auto"/>
        <w:jc w:val="center"/>
        <w:rPr>
          <w:sz w:val="24"/>
          <w:lang w:val="en-US"/>
        </w:rPr>
      </w:pPr>
      <w:r w:rsidRPr="00B05973">
        <w:rPr>
          <w:position w:val="-28"/>
          <w:sz w:val="24"/>
          <w:lang w:val="en-US"/>
        </w:rPr>
        <w:object w:dxaOrig="1880" w:dyaOrig="660">
          <v:shape id="_x0000_i1028" type="#_x0000_t75" style="width:95.25pt;height:33.75pt" o:ole="" fillcolor="window">
            <v:imagedata r:id="rId20" o:title=""/>
          </v:shape>
          <o:OLEObject Type="Embed" ProgID="Equation.3" ShapeID="_x0000_i1028" DrawAspect="Content" ObjectID="_1392535480" r:id="rId21"/>
        </w:object>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t>(</w:t>
      </w:r>
      <w:r w:rsidRPr="00DE7AB1">
        <w:rPr>
          <w:rFonts w:ascii="Book Antiqua" w:hAnsi="Book Antiqua"/>
          <w:sz w:val="24"/>
          <w:lang w:val="en-US"/>
        </w:rPr>
        <w:t>2</w:t>
      </w:r>
      <w:r w:rsidRPr="00B05973">
        <w:rPr>
          <w:sz w:val="24"/>
          <w:lang w:val="en-US"/>
        </w:rPr>
        <w:t>)</w:t>
      </w:r>
    </w:p>
    <w:p w:rsidR="00DE2587" w:rsidRDefault="00DE2587" w:rsidP="0097439B">
      <w:pPr>
        <w:spacing w:line="360" w:lineRule="auto"/>
        <w:jc w:val="both"/>
        <w:rPr>
          <w:sz w:val="24"/>
          <w:lang w:val="en-US"/>
        </w:rPr>
      </w:pPr>
    </w:p>
    <w:p w:rsidR="00DE2587" w:rsidRPr="00B05973" w:rsidRDefault="00DE2587" w:rsidP="00FB349C">
      <w:pPr>
        <w:numPr>
          <w:ilvl w:val="1"/>
          <w:numId w:val="8"/>
        </w:numPr>
        <w:spacing w:line="360" w:lineRule="auto"/>
        <w:ind w:left="567"/>
        <w:jc w:val="both"/>
        <w:rPr>
          <w:b/>
          <w:sz w:val="24"/>
          <w:lang w:val="en-US"/>
        </w:rPr>
      </w:pPr>
      <w:r>
        <w:rPr>
          <w:b/>
          <w:sz w:val="24"/>
          <w:lang w:val="en-US"/>
        </w:rPr>
        <w:t xml:space="preserve">Estimation methodology: happiness and utility </w:t>
      </w:r>
    </w:p>
    <w:p w:rsidR="00E67C31" w:rsidRDefault="00E67C31" w:rsidP="00C812E6">
      <w:pPr>
        <w:spacing w:line="360" w:lineRule="auto"/>
        <w:ind w:firstLine="567"/>
        <w:jc w:val="both"/>
        <w:rPr>
          <w:sz w:val="24"/>
          <w:szCs w:val="24"/>
          <w:lang w:val="en-US"/>
        </w:rPr>
      </w:pPr>
    </w:p>
    <w:p w:rsidR="00000000" w:rsidRDefault="00DE2587">
      <w:pPr>
        <w:spacing w:line="360" w:lineRule="auto"/>
        <w:jc w:val="both"/>
        <w:rPr>
          <w:sz w:val="24"/>
          <w:lang w:val="en-US"/>
        </w:rPr>
      </w:pPr>
      <w:r>
        <w:rPr>
          <w:sz w:val="24"/>
          <w:szCs w:val="24"/>
          <w:lang w:val="en-US"/>
        </w:rPr>
        <w:t xml:space="preserve">To make use of happiness data we need to hypothesize on the nature of the relation between reported happiness, </w:t>
      </w:r>
      <w:r w:rsidRPr="00DD4071">
        <w:rPr>
          <w:position w:val="-12"/>
          <w:sz w:val="24"/>
          <w:lang w:val="en-US"/>
        </w:rPr>
        <w:object w:dxaOrig="300" w:dyaOrig="360">
          <v:shape id="_x0000_i1029" type="#_x0000_t75" style="width:15pt;height:18pt" o:ole="" fillcolor="window">
            <v:imagedata r:id="rId22" o:title=""/>
          </v:shape>
          <o:OLEObject Type="Embed" ProgID="Equation.3" ShapeID="_x0000_i1029" DrawAspect="Content" ObjectID="_1392535481" r:id="rId23"/>
        </w:object>
      </w:r>
      <w:r>
        <w:rPr>
          <w:position w:val="-12"/>
          <w:sz w:val="24"/>
          <w:lang w:val="en-US"/>
        </w:rPr>
        <w:t xml:space="preserve"> </w:t>
      </w:r>
      <w:r>
        <w:rPr>
          <w:sz w:val="24"/>
          <w:szCs w:val="24"/>
          <w:lang w:val="en-US"/>
        </w:rPr>
        <w:t xml:space="preserve">and the individual’s experienced utility, </w:t>
      </w:r>
      <w:r w:rsidRPr="00DD4071">
        <w:rPr>
          <w:position w:val="-12"/>
          <w:sz w:val="24"/>
          <w:lang w:val="en-US"/>
        </w:rPr>
        <w:object w:dxaOrig="980" w:dyaOrig="360">
          <v:shape id="_x0000_i1030" type="#_x0000_t75" style="width:48.75pt;height:18pt" o:ole="" fillcolor="window">
            <v:imagedata r:id="rId24" o:title=""/>
          </v:shape>
          <o:OLEObject Type="Embed" ProgID="Equation.3" ShapeID="_x0000_i1030" DrawAspect="Content" ObjectID="_1392535482" r:id="rId25"/>
        </w:object>
      </w:r>
      <w:r>
        <w:rPr>
          <w:sz w:val="24"/>
          <w:szCs w:val="24"/>
          <w:lang w:val="en-US"/>
        </w:rPr>
        <w:t xml:space="preserve">. For simplicity, Layard et al. (2008) assume that the relation </w:t>
      </w:r>
      <w:r w:rsidRPr="00132E92">
        <w:rPr>
          <w:position w:val="-12"/>
          <w:sz w:val="24"/>
          <w:lang w:val="en-US"/>
        </w:rPr>
        <w:object w:dxaOrig="1040" w:dyaOrig="360">
          <v:shape id="_x0000_i1031" type="#_x0000_t75" style="width:52.5pt;height:18pt" o:ole="" fillcolor="window">
            <v:imagedata r:id="rId26" o:title=""/>
          </v:shape>
          <o:OLEObject Type="Embed" ProgID="Equation.3" ShapeID="_x0000_i1031" DrawAspect="Content" ObjectID="_1392535483" r:id="rId27"/>
        </w:object>
      </w:r>
      <w:r>
        <w:rPr>
          <w:position w:val="-12"/>
          <w:sz w:val="24"/>
          <w:lang w:val="en-US"/>
        </w:rPr>
        <w:t xml:space="preserve"> </w:t>
      </w:r>
      <w:r>
        <w:rPr>
          <w:sz w:val="24"/>
          <w:szCs w:val="24"/>
          <w:lang w:val="en-US"/>
        </w:rPr>
        <w:t xml:space="preserve">is linear.  Instead, we allow for the relationship </w:t>
      </w:r>
      <w:r w:rsidRPr="009B4998">
        <w:rPr>
          <w:i/>
          <w:sz w:val="24"/>
          <w:szCs w:val="24"/>
          <w:lang w:val="en-US"/>
        </w:rPr>
        <w:t>f</w:t>
      </w:r>
      <w:r>
        <w:rPr>
          <w:sz w:val="24"/>
          <w:szCs w:val="24"/>
          <w:lang w:val="en-US"/>
        </w:rPr>
        <w:t xml:space="preserve"> between utility and happiness to be nonlinear, and assume only that it needs to be strictly monotonic</w:t>
      </w:r>
      <w:r>
        <w:rPr>
          <w:sz w:val="24"/>
          <w:lang w:val="en-US"/>
        </w:rPr>
        <w:t xml:space="preserve">. We postulate that </w:t>
      </w:r>
    </w:p>
    <w:p w:rsidR="00DE2587" w:rsidRDefault="00DE2587" w:rsidP="00C812E6">
      <w:pPr>
        <w:spacing w:line="360" w:lineRule="auto"/>
        <w:ind w:firstLine="567"/>
        <w:jc w:val="both"/>
        <w:rPr>
          <w:sz w:val="24"/>
          <w:lang w:val="en-US"/>
        </w:rPr>
      </w:pPr>
    </w:p>
    <w:p w:rsidR="00DE2587" w:rsidRDefault="00DE2587" w:rsidP="00DE7AB1">
      <w:pPr>
        <w:spacing w:line="360" w:lineRule="auto"/>
        <w:jc w:val="center"/>
        <w:rPr>
          <w:sz w:val="24"/>
          <w:lang w:val="en-US"/>
        </w:rPr>
      </w:pPr>
      <w:r w:rsidRPr="00DD4071">
        <w:rPr>
          <w:position w:val="-12"/>
          <w:sz w:val="24"/>
          <w:lang w:val="en-US"/>
        </w:rPr>
        <w:object w:dxaOrig="1760" w:dyaOrig="360">
          <v:shape id="_x0000_i1032" type="#_x0000_t75" style="width:88.5pt;height:18pt" o:ole="" fillcolor="window">
            <v:imagedata r:id="rId28" o:title=""/>
          </v:shape>
          <o:OLEObject Type="Embed" ProgID="Equation.3" ShapeID="_x0000_i1032" DrawAspect="Content" ObjectID="_1392535484" r:id="rId29"/>
        </w:object>
      </w:r>
      <w:r>
        <w:rPr>
          <w:sz w:val="24"/>
          <w:lang w:val="en-US"/>
        </w:rPr>
        <w:t>,</w:t>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t>(</w:t>
      </w:r>
      <w:r w:rsidRPr="00DE7AB1">
        <w:rPr>
          <w:rFonts w:ascii="Book Antiqua" w:hAnsi="Book Antiqua"/>
          <w:sz w:val="24"/>
          <w:lang w:val="en-US"/>
        </w:rPr>
        <w:t>3</w:t>
      </w:r>
      <w:r>
        <w:rPr>
          <w:sz w:val="24"/>
          <w:lang w:val="en-US"/>
        </w:rPr>
        <w:t>)</w:t>
      </w:r>
    </w:p>
    <w:p w:rsidR="00DE2587" w:rsidRDefault="00DE2587" w:rsidP="00422F40">
      <w:pPr>
        <w:spacing w:line="360" w:lineRule="auto"/>
        <w:jc w:val="both"/>
        <w:rPr>
          <w:sz w:val="24"/>
          <w:lang w:val="en-US"/>
        </w:rPr>
      </w:pPr>
    </w:p>
    <w:p w:rsidR="00DE2587" w:rsidRDefault="00DE2587" w:rsidP="00422F40">
      <w:pPr>
        <w:spacing w:line="360" w:lineRule="auto"/>
        <w:jc w:val="both"/>
        <w:rPr>
          <w:sz w:val="24"/>
          <w:szCs w:val="24"/>
          <w:lang w:val="en-US"/>
        </w:rPr>
      </w:pPr>
      <w:r>
        <w:rPr>
          <w:sz w:val="24"/>
          <w:lang w:val="en-US"/>
        </w:rPr>
        <w:t xml:space="preserve">where </w:t>
      </w:r>
      <w:r w:rsidRPr="00790862">
        <w:rPr>
          <w:rFonts w:ascii="Garamond" w:hAnsi="Garamond"/>
          <w:sz w:val="24"/>
          <w:lang w:val="en-US"/>
        </w:rPr>
        <w:t>γ</w:t>
      </w:r>
      <w:r w:rsidRPr="00790862">
        <w:rPr>
          <w:sz w:val="24"/>
          <w:lang w:val="en-US"/>
        </w:rPr>
        <w:t xml:space="preserve"> is a scalar parameter,</w:t>
      </w:r>
      <w:r>
        <w:rPr>
          <w:lang w:val="en-US"/>
        </w:rPr>
        <w:t xml:space="preserve"> </w:t>
      </w:r>
      <w:r w:rsidRPr="00422F40">
        <w:rPr>
          <w:i/>
          <w:sz w:val="24"/>
          <w:lang w:val="en-US"/>
        </w:rPr>
        <w:t>X</w:t>
      </w:r>
      <w:r w:rsidRPr="00790862">
        <w:rPr>
          <w:i/>
          <w:sz w:val="24"/>
          <w:vertAlign w:val="subscript"/>
          <w:lang w:val="en-US"/>
        </w:rPr>
        <w:t>i</w:t>
      </w:r>
      <w:r>
        <w:rPr>
          <w:sz w:val="24"/>
          <w:lang w:val="en-US"/>
        </w:rPr>
        <w:t xml:space="preserve"> are individual characteristics such as age and gender that do not affect utility from income but affect happiness,</w:t>
      </w:r>
      <w:r w:rsidDel="00DD4071">
        <w:rPr>
          <w:sz w:val="24"/>
          <w:lang w:val="en-US"/>
        </w:rPr>
        <w:t xml:space="preserve"> </w:t>
      </w:r>
      <w:r>
        <w:rPr>
          <w:sz w:val="24"/>
          <w:lang w:val="en-US"/>
        </w:rPr>
        <w:t xml:space="preserve">and </w:t>
      </w:r>
      <w:r w:rsidRPr="007935DF">
        <w:rPr>
          <w:position w:val="-10"/>
          <w:sz w:val="24"/>
          <w:lang w:val="en-US"/>
        </w:rPr>
        <w:object w:dxaOrig="240" w:dyaOrig="320">
          <v:shape id="_x0000_i1033" type="#_x0000_t75" style="width:12pt;height:16.5pt" o:ole="" fillcolor="window">
            <v:imagedata r:id="rId30" o:title=""/>
          </v:shape>
          <o:OLEObject Type="Embed" ProgID="Equation.3" ShapeID="_x0000_i1033" DrawAspect="Content" ObjectID="_1392535485" r:id="rId31"/>
        </w:object>
      </w:r>
      <w:r>
        <w:rPr>
          <w:sz w:val="24"/>
          <w:lang w:val="en-US"/>
        </w:rPr>
        <w:t xml:space="preserve"> is a vector of parameters. As in Layard et al. (2008) an important </w:t>
      </w:r>
      <w:r>
        <w:rPr>
          <w:sz w:val="24"/>
          <w:szCs w:val="24"/>
          <w:lang w:val="en-US"/>
        </w:rPr>
        <w:t xml:space="preserve">assumption in our methodology is that the relation </w:t>
      </w:r>
      <w:r w:rsidRPr="000153C1">
        <w:rPr>
          <w:i/>
          <w:sz w:val="24"/>
          <w:szCs w:val="24"/>
          <w:lang w:val="en-US"/>
        </w:rPr>
        <w:t>f</w:t>
      </w:r>
      <w:r>
        <w:rPr>
          <w:sz w:val="24"/>
          <w:szCs w:val="24"/>
          <w:lang w:val="en-US"/>
        </w:rPr>
        <w:t xml:space="preserve"> is common to all individuals. Therefore, we consider the following model,</w:t>
      </w:r>
    </w:p>
    <w:p w:rsidR="00DE2587" w:rsidRPr="00310079" w:rsidRDefault="00DE2587" w:rsidP="00422F40">
      <w:pPr>
        <w:spacing w:line="360" w:lineRule="auto"/>
        <w:jc w:val="both"/>
        <w:rPr>
          <w:sz w:val="24"/>
          <w:szCs w:val="24"/>
          <w:lang w:val="en-US"/>
        </w:rPr>
      </w:pPr>
    </w:p>
    <w:p w:rsidR="00DE2587" w:rsidRDefault="00DE2587" w:rsidP="00DE7AB1">
      <w:pPr>
        <w:spacing w:line="360" w:lineRule="auto"/>
        <w:jc w:val="center"/>
        <w:rPr>
          <w:sz w:val="24"/>
          <w:lang w:val="en-US"/>
        </w:rPr>
      </w:pPr>
      <w:r w:rsidRPr="00DD4071">
        <w:rPr>
          <w:position w:val="-12"/>
          <w:sz w:val="24"/>
          <w:lang w:val="en-US"/>
        </w:rPr>
        <w:object w:dxaOrig="2140" w:dyaOrig="360">
          <v:shape id="_x0000_i1034" type="#_x0000_t75" style="width:106.5pt;height:18pt" o:ole="" fillcolor="window">
            <v:imagedata r:id="rId32" o:title=""/>
          </v:shape>
          <o:OLEObject Type="Embed" ProgID="Equation.3" ShapeID="_x0000_i1034" DrawAspect="Content" ObjectID="_1392535486" r:id="rId33"/>
        </w:object>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t>(</w:t>
      </w:r>
      <w:r w:rsidRPr="00DE7AB1">
        <w:rPr>
          <w:rFonts w:ascii="Book Antiqua" w:hAnsi="Book Antiqua"/>
          <w:sz w:val="24"/>
          <w:lang w:val="en-US"/>
        </w:rPr>
        <w:t>4</w:t>
      </w:r>
      <w:r w:rsidRPr="00B05973">
        <w:rPr>
          <w:sz w:val="24"/>
          <w:lang w:val="en-US"/>
        </w:rPr>
        <w:t>)</w:t>
      </w:r>
    </w:p>
    <w:p w:rsidR="00DE2587" w:rsidRDefault="00DE2587" w:rsidP="0097439B">
      <w:pPr>
        <w:spacing w:line="360" w:lineRule="auto"/>
        <w:jc w:val="both"/>
        <w:rPr>
          <w:sz w:val="24"/>
          <w:szCs w:val="24"/>
          <w:lang w:val="en-US"/>
        </w:rPr>
      </w:pPr>
    </w:p>
    <w:p w:rsidR="00DE2587" w:rsidRDefault="00DE2587" w:rsidP="0097439B">
      <w:pPr>
        <w:spacing w:line="360" w:lineRule="auto"/>
        <w:jc w:val="both"/>
        <w:rPr>
          <w:lang w:val="en-US"/>
        </w:rPr>
      </w:pPr>
      <w:r>
        <w:rPr>
          <w:sz w:val="24"/>
          <w:szCs w:val="24"/>
          <w:lang w:val="en-US"/>
        </w:rPr>
        <w:t xml:space="preserve">where </w:t>
      </w:r>
      <w:r w:rsidRPr="00DD4071">
        <w:rPr>
          <w:position w:val="-12"/>
          <w:sz w:val="24"/>
          <w:lang w:val="en-US"/>
        </w:rPr>
        <w:object w:dxaOrig="220" w:dyaOrig="360">
          <v:shape id="_x0000_i1035" type="#_x0000_t75" style="width:11.25pt;height:18pt" o:ole="" fillcolor="window">
            <v:imagedata r:id="rId34" o:title=""/>
          </v:shape>
          <o:OLEObject Type="Embed" ProgID="Equation.3" ShapeID="_x0000_i1035" DrawAspect="Content" ObjectID="_1392535487" r:id="rId35"/>
        </w:object>
      </w:r>
      <w:r w:rsidRPr="0097439B">
        <w:rPr>
          <w:sz w:val="24"/>
          <w:szCs w:val="24"/>
          <w:lang w:val="en-US"/>
        </w:rPr>
        <w:t xml:space="preserve"> </w:t>
      </w:r>
      <w:r>
        <w:rPr>
          <w:sz w:val="24"/>
          <w:szCs w:val="24"/>
          <w:lang w:val="en-US"/>
        </w:rPr>
        <w:t xml:space="preserve">represents an error term that is independent of experienced utility </w:t>
      </w:r>
      <w:r>
        <w:rPr>
          <w:i/>
          <w:sz w:val="24"/>
          <w:szCs w:val="24"/>
          <w:lang w:val="en-US"/>
        </w:rPr>
        <w:t>u</w:t>
      </w:r>
      <w:r>
        <w:rPr>
          <w:sz w:val="24"/>
          <w:szCs w:val="24"/>
          <w:vertAlign w:val="subscript"/>
          <w:lang w:val="en-US"/>
        </w:rPr>
        <w:t>i</w:t>
      </w:r>
      <w:r>
        <w:rPr>
          <w:sz w:val="24"/>
          <w:szCs w:val="24"/>
          <w:lang w:val="en-US"/>
        </w:rPr>
        <w:t>.</w:t>
      </w:r>
    </w:p>
    <w:p w:rsidR="00DE2587" w:rsidRPr="00280F6B" w:rsidRDefault="00DE2587" w:rsidP="00132E92">
      <w:pPr>
        <w:pStyle w:val="Default"/>
        <w:spacing w:line="360" w:lineRule="auto"/>
        <w:ind w:firstLine="709"/>
        <w:jc w:val="both"/>
        <w:rPr>
          <w:rFonts w:ascii="Times New Roman" w:hAnsi="Times New Roman"/>
          <w:snapToGrid/>
          <w:color w:val="auto"/>
          <w:lang w:val="en-US"/>
        </w:rPr>
      </w:pPr>
      <w:r>
        <w:rPr>
          <w:rFonts w:ascii="Times New Roman" w:hAnsi="Times New Roman"/>
          <w:snapToGrid/>
          <w:color w:val="auto"/>
          <w:lang w:val="en-US"/>
        </w:rPr>
        <w:t>Since reported happiness is an ordered discrete response, we can operationalize the above model by replacing observed happiness in equation (</w:t>
      </w:r>
      <w:r w:rsidR="00D91AE2">
        <w:rPr>
          <w:rFonts w:ascii="Times New Roman" w:hAnsi="Times New Roman"/>
          <w:snapToGrid/>
          <w:color w:val="auto"/>
          <w:lang w:val="en-US"/>
        </w:rPr>
        <w:t>4</w:t>
      </w:r>
      <w:r>
        <w:rPr>
          <w:rFonts w:ascii="Times New Roman" w:hAnsi="Times New Roman"/>
          <w:snapToGrid/>
          <w:color w:val="auto"/>
          <w:lang w:val="en-US"/>
        </w:rPr>
        <w:t xml:space="preserve">) with a continuous </w:t>
      </w:r>
      <w:r>
        <w:rPr>
          <w:rFonts w:ascii="Times New Roman" w:hAnsi="Times New Roman"/>
          <w:snapToGrid/>
          <w:color w:val="auto"/>
          <w:lang w:val="en-US"/>
        </w:rPr>
        <w:lastRenderedPageBreak/>
        <w:t xml:space="preserve">latent variable </w:t>
      </w:r>
      <w:r w:rsidRPr="00280F6B">
        <w:rPr>
          <w:position w:val="-12"/>
          <w:lang w:val="en-US"/>
        </w:rPr>
        <w:object w:dxaOrig="260" w:dyaOrig="380">
          <v:shape id="_x0000_i1036" type="#_x0000_t75" style="width:12.75pt;height:19.5pt" o:ole="" fillcolor="window">
            <v:imagedata r:id="rId36" o:title=""/>
          </v:shape>
          <o:OLEObject Type="Embed" ProgID="Equation.3" ShapeID="_x0000_i1036" DrawAspect="Content" ObjectID="_1392535488" r:id="rId37"/>
        </w:object>
      </w:r>
      <w:r>
        <w:rPr>
          <w:position w:val="-12"/>
          <w:lang w:val="en-US"/>
        </w:rPr>
        <w:t xml:space="preserve"> </w:t>
      </w:r>
      <w:r>
        <w:rPr>
          <w:rFonts w:ascii="Times New Roman" w:hAnsi="Times New Roman"/>
          <w:lang w:val="en-US"/>
        </w:rPr>
        <w:t xml:space="preserve">and assuming that </w:t>
      </w:r>
      <w:r w:rsidRPr="00DD4071">
        <w:rPr>
          <w:position w:val="-12"/>
          <w:lang w:val="en-US"/>
        </w:rPr>
        <w:object w:dxaOrig="220" w:dyaOrig="360">
          <v:shape id="_x0000_i1037" type="#_x0000_t75" style="width:11.25pt;height:18pt" o:ole="" fillcolor="window">
            <v:imagedata r:id="rId38" o:title=""/>
          </v:shape>
          <o:OLEObject Type="Embed" ProgID="Equation.3" ShapeID="_x0000_i1037" DrawAspect="Content" ObjectID="_1392535489" r:id="rId39"/>
        </w:object>
      </w:r>
      <w:r>
        <w:rPr>
          <w:rFonts w:ascii="Garamond" w:hAnsi="Garamond"/>
          <w:snapToGrid/>
          <w:color w:val="auto"/>
          <w:lang w:val="en-US"/>
        </w:rPr>
        <w:t xml:space="preserve"> </w:t>
      </w:r>
      <w:r w:rsidRPr="00790862">
        <w:rPr>
          <w:rFonts w:ascii="Times New Roman" w:hAnsi="Times New Roman"/>
          <w:snapToGrid/>
          <w:color w:val="auto"/>
          <w:lang w:val="en-US"/>
        </w:rPr>
        <w:t xml:space="preserve">has a </w:t>
      </w:r>
      <w:r>
        <w:rPr>
          <w:rFonts w:ascii="Times New Roman" w:hAnsi="Times New Roman"/>
          <w:snapToGrid/>
          <w:color w:val="auto"/>
          <w:lang w:val="en-US"/>
        </w:rPr>
        <w:t xml:space="preserve">logistic distribution, allowing </w:t>
      </w:r>
      <w:r w:rsidRPr="00790862">
        <w:rPr>
          <w:rFonts w:ascii="Times New Roman" w:hAnsi="Times New Roman"/>
          <w:i/>
          <w:snapToGrid/>
          <w:color w:val="auto"/>
          <w:lang w:val="en-US"/>
        </w:rPr>
        <w:t>f</w:t>
      </w:r>
      <w:r>
        <w:rPr>
          <w:rFonts w:ascii="Times New Roman" w:hAnsi="Times New Roman"/>
          <w:snapToGrid/>
          <w:color w:val="auto"/>
          <w:lang w:val="en-US"/>
        </w:rPr>
        <w:t xml:space="preserve"> to represent any monotonically increasing transformation.</w:t>
      </w:r>
    </w:p>
    <w:p w:rsidR="00DE2587" w:rsidRDefault="00DE2587" w:rsidP="00132E92">
      <w:pPr>
        <w:pStyle w:val="Default"/>
        <w:spacing w:line="360" w:lineRule="auto"/>
        <w:ind w:firstLine="709"/>
        <w:jc w:val="both"/>
        <w:rPr>
          <w:rFonts w:ascii="Times New Roman" w:hAnsi="Times New Roman"/>
          <w:snapToGrid/>
          <w:color w:val="auto"/>
          <w:lang w:val="en-US"/>
        </w:rPr>
      </w:pPr>
      <w:r>
        <w:rPr>
          <w:rFonts w:ascii="Times New Roman" w:hAnsi="Times New Roman"/>
          <w:snapToGrid/>
          <w:color w:val="auto"/>
          <w:lang w:val="en-US"/>
        </w:rPr>
        <w:t xml:space="preserve">Therefore </w:t>
      </w:r>
      <w:r w:rsidRPr="00710DC5">
        <w:rPr>
          <w:rFonts w:ascii="Times New Roman" w:hAnsi="Times New Roman"/>
          <w:snapToGrid/>
          <w:color w:val="auto"/>
          <w:lang w:val="en-US"/>
        </w:rPr>
        <w:t xml:space="preserve">individuals whose </w:t>
      </w:r>
      <w:r>
        <w:rPr>
          <w:rFonts w:ascii="Times New Roman" w:hAnsi="Times New Roman"/>
          <w:snapToGrid/>
          <w:color w:val="auto"/>
          <w:lang w:val="en-US"/>
        </w:rPr>
        <w:t xml:space="preserve">latent happiness is </w:t>
      </w:r>
      <w:r w:rsidRPr="00710DC5">
        <w:rPr>
          <w:rFonts w:ascii="Times New Roman" w:hAnsi="Times New Roman"/>
          <w:snapToGrid/>
          <w:color w:val="auto"/>
          <w:lang w:val="en-US"/>
        </w:rPr>
        <w:t xml:space="preserve">below a certain threshold </w:t>
      </w:r>
      <w:r w:rsidRPr="00132E92">
        <w:rPr>
          <w:rFonts w:ascii="Times New Roman" w:hAnsi="Times New Roman"/>
          <w:snapToGrid/>
          <w:color w:val="auto"/>
          <w:position w:val="-10"/>
          <w:lang w:val="en-US"/>
        </w:rPr>
        <w:object w:dxaOrig="279" w:dyaOrig="340">
          <v:shape id="_x0000_i1038" type="#_x0000_t75" style="width:14.25pt;height:16.5pt" o:ole="" fillcolor="window">
            <v:imagedata r:id="rId40" o:title=""/>
          </v:shape>
          <o:OLEObject Type="Embed" ProgID="Equation.3" ShapeID="_x0000_i1038" DrawAspect="Content" ObjectID="_1392535490" r:id="rId41"/>
        </w:object>
      </w:r>
      <w:r w:rsidRPr="00132E92">
        <w:rPr>
          <w:rFonts w:ascii="Times New Roman" w:hAnsi="Times New Roman"/>
          <w:snapToGrid/>
          <w:color w:val="auto"/>
          <w:lang w:val="en-US"/>
        </w:rPr>
        <w:t>will report their happiness level to be at the bottom of the ladder (</w:t>
      </w:r>
      <w:r w:rsidRPr="00132E92">
        <w:rPr>
          <w:rFonts w:ascii="Times New Roman" w:hAnsi="Times New Roman"/>
          <w:snapToGrid/>
          <w:color w:val="auto"/>
          <w:position w:val="-12"/>
          <w:lang w:val="en-US"/>
        </w:rPr>
        <w:object w:dxaOrig="639" w:dyaOrig="360">
          <v:shape id="_x0000_i1039" type="#_x0000_t75" style="width:32.25pt;height:18pt" o:ole="" fillcolor="window">
            <v:imagedata r:id="rId42" o:title=""/>
          </v:shape>
          <o:OLEObject Type="Embed" ProgID="Equation.3" ShapeID="_x0000_i1039" DrawAspect="Content" ObjectID="_1392535491" r:id="rId43"/>
        </w:object>
      </w:r>
      <w:r>
        <w:rPr>
          <w:rFonts w:ascii="Times New Roman" w:hAnsi="Times New Roman"/>
          <w:snapToGrid/>
          <w:color w:val="auto"/>
          <w:lang w:val="en-US"/>
        </w:rPr>
        <w:t xml:space="preserve">). </w:t>
      </w:r>
    </w:p>
    <w:p w:rsidR="00DE2587" w:rsidRDefault="00DE2587" w:rsidP="00132E92">
      <w:pPr>
        <w:pStyle w:val="Default"/>
        <w:spacing w:line="360" w:lineRule="auto"/>
        <w:ind w:firstLine="709"/>
        <w:jc w:val="both"/>
        <w:rPr>
          <w:rFonts w:ascii="Times New Roman" w:hAnsi="Times New Roman"/>
          <w:snapToGrid/>
          <w:color w:val="auto"/>
          <w:lang w:val="en-US"/>
        </w:rPr>
      </w:pPr>
    </w:p>
    <w:p w:rsidR="00DE2587" w:rsidRDefault="00DE2587" w:rsidP="00DE7AB1">
      <w:pPr>
        <w:pStyle w:val="Default"/>
        <w:spacing w:line="360" w:lineRule="auto"/>
        <w:jc w:val="center"/>
        <w:rPr>
          <w:rFonts w:ascii="Times New Roman" w:hAnsi="Times New Roman"/>
          <w:snapToGrid/>
          <w:color w:val="auto"/>
          <w:lang w:val="en-US"/>
        </w:rPr>
      </w:pPr>
      <w:r w:rsidRPr="00132E92">
        <w:rPr>
          <w:position w:val="-12"/>
          <w:lang w:val="en-US"/>
        </w:rPr>
        <w:object w:dxaOrig="5060" w:dyaOrig="380">
          <v:shape id="_x0000_i1040" type="#_x0000_t75" style="width:252pt;height:19.5pt" o:ole="" fillcolor="window">
            <v:imagedata r:id="rId44" o:title=""/>
          </v:shape>
          <o:OLEObject Type="Embed" ProgID="Equation.3" ShapeID="_x0000_i1040" DrawAspect="Content" ObjectID="_1392535492" r:id="rId45"/>
        </w:object>
      </w:r>
      <w:r>
        <w:rPr>
          <w:position w:val="-12"/>
          <w:lang w:val="en-US"/>
        </w:rPr>
        <w:tab/>
      </w:r>
      <w:r>
        <w:rPr>
          <w:position w:val="-12"/>
          <w:lang w:val="en-US"/>
        </w:rPr>
        <w:tab/>
      </w:r>
      <w:r>
        <w:rPr>
          <w:position w:val="-12"/>
          <w:lang w:val="en-US"/>
        </w:rPr>
        <w:tab/>
      </w:r>
      <w:r>
        <w:rPr>
          <w:position w:val="-12"/>
          <w:lang w:val="en-US"/>
        </w:rPr>
        <w:tab/>
        <w:t>(5)</w:t>
      </w:r>
    </w:p>
    <w:p w:rsidR="00DE2587" w:rsidRDefault="00DE2587" w:rsidP="00B60CBD">
      <w:pPr>
        <w:pStyle w:val="Default"/>
        <w:spacing w:line="360" w:lineRule="auto"/>
        <w:jc w:val="both"/>
        <w:rPr>
          <w:rFonts w:ascii="Times New Roman" w:hAnsi="Times New Roman"/>
          <w:snapToGrid/>
          <w:color w:val="auto"/>
          <w:lang w:val="en-US"/>
        </w:rPr>
      </w:pPr>
    </w:p>
    <w:p w:rsidR="00DE2587" w:rsidRDefault="00DE2587" w:rsidP="00B94884">
      <w:pPr>
        <w:pStyle w:val="Default"/>
        <w:spacing w:line="360" w:lineRule="auto"/>
        <w:ind w:firstLine="708"/>
        <w:jc w:val="both"/>
        <w:rPr>
          <w:rFonts w:ascii="Times New Roman" w:hAnsi="Times New Roman"/>
          <w:snapToGrid/>
          <w:color w:val="auto"/>
          <w:lang w:val="en-US"/>
        </w:rPr>
      </w:pPr>
      <w:r>
        <w:rPr>
          <w:rFonts w:ascii="Times New Roman" w:hAnsi="Times New Roman"/>
          <w:snapToGrid/>
          <w:color w:val="auto"/>
          <w:lang w:val="en-US"/>
        </w:rPr>
        <w:t xml:space="preserve">Since </w:t>
      </w:r>
      <w:r w:rsidRPr="00B60CBD">
        <w:rPr>
          <w:rFonts w:ascii="Times New Roman" w:hAnsi="Times New Roman"/>
          <w:i/>
          <w:snapToGrid/>
          <w:color w:val="auto"/>
          <w:lang w:val="en-US"/>
        </w:rPr>
        <w:t>f</w:t>
      </w:r>
      <w:r>
        <w:rPr>
          <w:rFonts w:ascii="Times New Roman" w:hAnsi="Times New Roman"/>
          <w:snapToGrid/>
          <w:color w:val="auto"/>
          <w:lang w:val="en-US"/>
        </w:rPr>
        <w:t xml:space="preserve"> is strictly increasing it has an inverse function and </w:t>
      </w:r>
    </w:p>
    <w:p w:rsidR="00DE2587" w:rsidRDefault="00DE2587" w:rsidP="00DE7AB1">
      <w:pPr>
        <w:pStyle w:val="Default"/>
        <w:spacing w:line="360" w:lineRule="auto"/>
        <w:jc w:val="center"/>
        <w:rPr>
          <w:position w:val="-12"/>
          <w:lang w:val="en-US"/>
        </w:rPr>
      </w:pPr>
    </w:p>
    <w:p w:rsidR="00DE2587" w:rsidRDefault="00DE2587" w:rsidP="00DE7AB1">
      <w:pPr>
        <w:pStyle w:val="Default"/>
        <w:spacing w:line="360" w:lineRule="auto"/>
        <w:jc w:val="center"/>
        <w:rPr>
          <w:lang w:val="en-US"/>
        </w:rPr>
      </w:pPr>
      <w:r w:rsidRPr="00BB3C7A">
        <w:rPr>
          <w:position w:val="-12"/>
          <w:lang w:val="en-US"/>
        </w:rPr>
        <w:object w:dxaOrig="3400" w:dyaOrig="360">
          <v:shape id="_x0000_i1041" type="#_x0000_t75" style="width:169.5pt;height:18pt" o:ole="" fillcolor="window">
            <v:imagedata r:id="rId46" o:title=""/>
          </v:shape>
          <o:OLEObject Type="Embed" ProgID="Equation.3" ShapeID="_x0000_i1041" DrawAspect="Content" ObjectID="_1392535493" r:id="rId47"/>
        </w:object>
      </w:r>
      <w:r>
        <w:rPr>
          <w:lang w:val="en-US"/>
        </w:rPr>
        <w:tab/>
      </w:r>
      <w:r>
        <w:rPr>
          <w:lang w:val="en-US"/>
        </w:rPr>
        <w:tab/>
      </w:r>
      <w:r>
        <w:rPr>
          <w:lang w:val="en-US"/>
        </w:rPr>
        <w:tab/>
      </w:r>
      <w:r>
        <w:rPr>
          <w:lang w:val="en-US"/>
        </w:rPr>
        <w:tab/>
      </w:r>
      <w:r>
        <w:rPr>
          <w:lang w:val="en-US"/>
        </w:rPr>
        <w:tab/>
      </w:r>
      <w:r>
        <w:rPr>
          <w:lang w:val="en-US"/>
        </w:rPr>
        <w:tab/>
      </w:r>
      <w:r>
        <w:rPr>
          <w:lang w:val="en-US"/>
        </w:rPr>
        <w:tab/>
        <w:t>(6)</w:t>
      </w:r>
    </w:p>
    <w:p w:rsidR="00DE2587" w:rsidRDefault="00DE2587" w:rsidP="00B60CBD">
      <w:pPr>
        <w:pStyle w:val="Default"/>
        <w:spacing w:line="360" w:lineRule="auto"/>
        <w:jc w:val="both"/>
        <w:rPr>
          <w:rFonts w:ascii="Times New Roman" w:hAnsi="Times New Roman"/>
          <w:snapToGrid/>
          <w:color w:val="auto"/>
          <w:lang w:val="en-US"/>
        </w:rPr>
      </w:pPr>
    </w:p>
    <w:p w:rsidR="00DE2587" w:rsidRPr="007935DF" w:rsidRDefault="00DE2587" w:rsidP="00B60CBD">
      <w:pPr>
        <w:pStyle w:val="Default"/>
        <w:spacing w:line="360" w:lineRule="auto"/>
        <w:jc w:val="both"/>
        <w:rPr>
          <w:rFonts w:ascii="Times New Roman" w:hAnsi="Times New Roman"/>
          <w:snapToGrid/>
          <w:color w:val="auto"/>
          <w:lang w:val="en-US"/>
        </w:rPr>
      </w:pPr>
      <w:r w:rsidRPr="007935DF">
        <w:rPr>
          <w:rFonts w:ascii="Times New Roman" w:hAnsi="Times New Roman"/>
          <w:snapToGrid/>
          <w:color w:val="auto"/>
          <w:lang w:val="en-US"/>
        </w:rPr>
        <w:t xml:space="preserve">where we define </w:t>
      </w:r>
      <w:r w:rsidRPr="007935DF">
        <w:rPr>
          <w:rFonts w:ascii="Times New Roman" w:hAnsi="Times New Roman"/>
          <w:snapToGrid/>
          <w:color w:val="auto"/>
          <w:position w:val="-14"/>
          <w:lang w:val="en-US"/>
        </w:rPr>
        <w:object w:dxaOrig="1340" w:dyaOrig="400">
          <v:shape id="_x0000_i1042" type="#_x0000_t75" style="width:67.5pt;height:19.5pt" o:ole="" fillcolor="window">
            <v:imagedata r:id="rId48" o:title=""/>
          </v:shape>
          <o:OLEObject Type="Embed" ProgID="Equation.3" ShapeID="_x0000_i1042" DrawAspect="Content" ObjectID="_1392535494" r:id="rId49"/>
        </w:object>
      </w:r>
      <w:r w:rsidRPr="007935DF">
        <w:rPr>
          <w:rFonts w:ascii="Times New Roman" w:hAnsi="Times New Roman"/>
          <w:snapToGrid/>
          <w:color w:val="auto"/>
          <w:lang w:val="en-US"/>
        </w:rPr>
        <w:t>.</w:t>
      </w:r>
    </w:p>
    <w:p w:rsidR="00DE2587" w:rsidRDefault="00DE2587" w:rsidP="00B60CBD">
      <w:pPr>
        <w:pStyle w:val="Default"/>
        <w:spacing w:line="360" w:lineRule="auto"/>
        <w:ind w:firstLine="708"/>
        <w:jc w:val="both"/>
        <w:rPr>
          <w:rFonts w:ascii="Times New Roman" w:hAnsi="Times New Roman"/>
          <w:snapToGrid/>
          <w:color w:val="auto"/>
          <w:lang w:val="en-US"/>
        </w:rPr>
      </w:pPr>
      <w:r>
        <w:rPr>
          <w:rFonts w:ascii="Times New Roman" w:hAnsi="Times New Roman"/>
          <w:snapToGrid/>
          <w:color w:val="auto"/>
          <w:lang w:val="en-US"/>
        </w:rPr>
        <w:t xml:space="preserve">Similarly, those individuals reporting to be in the first step of the happiness ladder, </w:t>
      </w:r>
      <w:r w:rsidRPr="00132E92">
        <w:rPr>
          <w:rFonts w:ascii="Times New Roman" w:hAnsi="Times New Roman"/>
          <w:snapToGrid/>
          <w:color w:val="auto"/>
          <w:position w:val="-12"/>
          <w:lang w:val="en-US"/>
        </w:rPr>
        <w:object w:dxaOrig="600" w:dyaOrig="360">
          <v:shape id="_x0000_i1043" type="#_x0000_t75" style="width:30.75pt;height:18pt" o:ole="" fillcolor="window">
            <v:imagedata r:id="rId50" o:title=""/>
          </v:shape>
          <o:OLEObject Type="Embed" ProgID="Equation.3" ShapeID="_x0000_i1043" DrawAspect="Content" ObjectID="_1392535495" r:id="rId51"/>
        </w:object>
      </w:r>
      <w:r>
        <w:rPr>
          <w:rFonts w:ascii="Times New Roman" w:hAnsi="Times New Roman"/>
          <w:snapToGrid/>
          <w:color w:val="auto"/>
          <w:lang w:val="en-US"/>
        </w:rPr>
        <w:t xml:space="preserve">, are those </w:t>
      </w:r>
      <w:r w:rsidRPr="00132E92">
        <w:rPr>
          <w:rFonts w:ascii="Times New Roman" w:hAnsi="Times New Roman"/>
          <w:snapToGrid/>
          <w:color w:val="auto"/>
          <w:lang w:val="en-US"/>
        </w:rPr>
        <w:t>w</w:t>
      </w:r>
      <w:r>
        <w:rPr>
          <w:rFonts w:ascii="Times New Roman" w:hAnsi="Times New Roman"/>
          <w:snapToGrid/>
          <w:color w:val="auto"/>
          <w:lang w:val="en-US"/>
        </w:rPr>
        <w:t>hose latent</w:t>
      </w:r>
      <w:r w:rsidRPr="00132E92">
        <w:rPr>
          <w:rFonts w:ascii="Times New Roman" w:hAnsi="Times New Roman"/>
          <w:snapToGrid/>
          <w:color w:val="auto"/>
          <w:lang w:val="en-US"/>
        </w:rPr>
        <w:t xml:space="preserve"> happ</w:t>
      </w:r>
      <w:r>
        <w:rPr>
          <w:rFonts w:ascii="Times New Roman" w:hAnsi="Times New Roman"/>
          <w:snapToGrid/>
          <w:color w:val="auto"/>
          <w:lang w:val="en-US"/>
        </w:rPr>
        <w:t xml:space="preserve">iness is above the first threshold </w:t>
      </w:r>
      <w:r w:rsidRPr="007935DF">
        <w:rPr>
          <w:rFonts w:ascii="Times New Roman" w:hAnsi="Times New Roman"/>
          <w:snapToGrid/>
          <w:color w:val="auto"/>
          <w:position w:val="-10"/>
          <w:lang w:val="en-US"/>
        </w:rPr>
        <w:object w:dxaOrig="279" w:dyaOrig="340">
          <v:shape id="_x0000_i1044" type="#_x0000_t75" style="width:14.25pt;height:16.5pt" o:ole="" fillcolor="window">
            <v:imagedata r:id="rId52" o:title=""/>
          </v:shape>
          <o:OLEObject Type="Embed" ProgID="Equation.3" ShapeID="_x0000_i1044" DrawAspect="Content" ObjectID="_1392535496" r:id="rId53"/>
        </w:object>
      </w:r>
      <w:r>
        <w:rPr>
          <w:rFonts w:ascii="Times New Roman" w:hAnsi="Times New Roman"/>
          <w:snapToGrid/>
          <w:color w:val="auto"/>
          <w:lang w:val="en-US"/>
        </w:rPr>
        <w:t xml:space="preserve"> but below </w:t>
      </w:r>
      <w:r w:rsidR="00E67C31">
        <w:rPr>
          <w:rFonts w:ascii="Times New Roman" w:hAnsi="Times New Roman"/>
          <w:snapToGrid/>
          <w:color w:val="auto"/>
          <w:lang w:val="en-US"/>
        </w:rPr>
        <w:t>a</w:t>
      </w:r>
      <w:r>
        <w:rPr>
          <w:rFonts w:ascii="Times New Roman" w:hAnsi="Times New Roman"/>
          <w:snapToGrid/>
          <w:color w:val="auto"/>
          <w:lang w:val="en-US"/>
        </w:rPr>
        <w:t xml:space="preserve"> second cut-off point</w:t>
      </w:r>
      <w:r w:rsidRPr="007935DF">
        <w:rPr>
          <w:rFonts w:ascii="Times New Roman" w:hAnsi="Times New Roman"/>
          <w:snapToGrid/>
          <w:color w:val="auto"/>
          <w:position w:val="-10"/>
          <w:lang w:val="en-US"/>
        </w:rPr>
        <w:object w:dxaOrig="300" w:dyaOrig="340">
          <v:shape id="_x0000_i1045" type="#_x0000_t75" style="width:14.25pt;height:16.5pt" o:ole="" fillcolor="window">
            <v:imagedata r:id="rId54" o:title=""/>
          </v:shape>
          <o:OLEObject Type="Embed" ProgID="Equation.3" ShapeID="_x0000_i1045" DrawAspect="Content" ObjectID="_1392535497" r:id="rId55"/>
        </w:object>
      </w:r>
      <w:r>
        <w:rPr>
          <w:rFonts w:ascii="Times New Roman" w:hAnsi="Times New Roman"/>
          <w:snapToGrid/>
          <w:color w:val="auto"/>
          <w:lang w:val="en-US"/>
        </w:rPr>
        <w:t>. This implies:</w:t>
      </w:r>
    </w:p>
    <w:p w:rsidR="00DE2587" w:rsidRDefault="00DE2587" w:rsidP="00B60CBD">
      <w:pPr>
        <w:pStyle w:val="Default"/>
        <w:spacing w:line="360" w:lineRule="auto"/>
        <w:ind w:firstLine="708"/>
        <w:jc w:val="both"/>
        <w:rPr>
          <w:rFonts w:ascii="Times New Roman" w:hAnsi="Times New Roman"/>
          <w:snapToGrid/>
          <w:color w:val="auto"/>
          <w:lang w:val="en-US"/>
        </w:rPr>
      </w:pPr>
    </w:p>
    <w:p w:rsidR="00DE2587" w:rsidRDefault="00DE2587" w:rsidP="00DE7AB1">
      <w:pPr>
        <w:pStyle w:val="Default"/>
        <w:spacing w:line="360" w:lineRule="auto"/>
        <w:jc w:val="center"/>
        <w:rPr>
          <w:rFonts w:ascii="Times New Roman" w:hAnsi="Times New Roman"/>
          <w:snapToGrid/>
          <w:color w:val="auto"/>
          <w:lang w:val="en-US"/>
        </w:rPr>
      </w:pPr>
      <w:r w:rsidRPr="00BB3C7A">
        <w:rPr>
          <w:position w:val="-12"/>
          <w:lang w:val="en-US"/>
        </w:rPr>
        <w:object w:dxaOrig="5679" w:dyaOrig="360">
          <v:shape id="_x0000_i1046" type="#_x0000_t75" style="width:284.25pt;height:18pt" o:ole="" fillcolor="window">
            <v:imagedata r:id="rId56" o:title=""/>
          </v:shape>
          <o:OLEObject Type="Embed" ProgID="Equation.3" ShapeID="_x0000_i1046" DrawAspect="Content" ObjectID="_1392535498" r:id="rId57"/>
        </w:object>
      </w:r>
      <w:r>
        <w:rPr>
          <w:position w:val="-12"/>
          <w:lang w:val="en-US"/>
        </w:rPr>
        <w:tab/>
      </w:r>
      <w:r>
        <w:rPr>
          <w:position w:val="-12"/>
          <w:lang w:val="en-US"/>
        </w:rPr>
        <w:tab/>
      </w:r>
      <w:r>
        <w:rPr>
          <w:position w:val="-12"/>
          <w:lang w:val="en-US"/>
        </w:rPr>
        <w:tab/>
        <w:t>(7)</w:t>
      </w:r>
    </w:p>
    <w:p w:rsidR="00DE2587" w:rsidRDefault="00DE2587" w:rsidP="00B60CBD">
      <w:pPr>
        <w:pStyle w:val="Default"/>
        <w:spacing w:line="360" w:lineRule="auto"/>
        <w:ind w:firstLine="708"/>
        <w:jc w:val="both"/>
        <w:rPr>
          <w:rFonts w:ascii="Times New Roman" w:hAnsi="Times New Roman"/>
          <w:snapToGrid/>
          <w:color w:val="auto"/>
          <w:lang w:val="en-US"/>
        </w:rPr>
      </w:pPr>
    </w:p>
    <w:p w:rsidR="00DE2587" w:rsidRDefault="00DE2587" w:rsidP="00B60CBD">
      <w:pPr>
        <w:pStyle w:val="Default"/>
        <w:spacing w:line="360" w:lineRule="auto"/>
        <w:ind w:firstLine="708"/>
        <w:jc w:val="both"/>
        <w:rPr>
          <w:rFonts w:ascii="Times New Roman" w:hAnsi="Times New Roman"/>
          <w:snapToGrid/>
          <w:color w:val="auto"/>
          <w:lang w:val="en-US"/>
        </w:rPr>
      </w:pPr>
      <w:r>
        <w:rPr>
          <w:rFonts w:ascii="Times New Roman" w:hAnsi="Times New Roman"/>
          <w:snapToGrid/>
          <w:color w:val="auto"/>
          <w:lang w:val="en-US"/>
        </w:rPr>
        <w:t>In summary we have:</w:t>
      </w:r>
    </w:p>
    <w:p w:rsidR="00DE2587" w:rsidRDefault="00DE2587" w:rsidP="00B60CBD">
      <w:pPr>
        <w:pStyle w:val="Default"/>
        <w:spacing w:line="360" w:lineRule="auto"/>
        <w:ind w:firstLine="708"/>
        <w:jc w:val="both"/>
        <w:rPr>
          <w:rFonts w:ascii="Times New Roman" w:hAnsi="Times New Roman"/>
          <w:snapToGrid/>
          <w:color w:val="auto"/>
          <w:lang w:val="en-US"/>
        </w:rPr>
      </w:pPr>
    </w:p>
    <w:p w:rsidR="00DE7AB1" w:rsidRDefault="00DE2587" w:rsidP="00DE7AB1">
      <w:pPr>
        <w:pStyle w:val="Default"/>
        <w:spacing w:line="480" w:lineRule="auto"/>
        <w:jc w:val="both"/>
        <w:rPr>
          <w:position w:val="-12"/>
          <w:lang w:val="en-US"/>
        </w:rPr>
      </w:pPr>
      <w:r w:rsidRPr="00132E92">
        <w:rPr>
          <w:position w:val="-12"/>
          <w:lang w:val="en-US"/>
        </w:rPr>
        <w:object w:dxaOrig="3340" w:dyaOrig="360">
          <v:shape id="_x0000_i1047" type="#_x0000_t75" style="width:165.75pt;height:18pt" o:ole="" fillcolor="window">
            <v:imagedata r:id="rId58" o:title=""/>
          </v:shape>
          <o:OLEObject Type="Embed" ProgID="Equation.3" ShapeID="_x0000_i1047" DrawAspect="Content" ObjectID="_1392535499" r:id="rId59"/>
        </w:object>
      </w:r>
    </w:p>
    <w:p w:rsidR="00DE2587" w:rsidRDefault="00DE2587" w:rsidP="00DE7AB1">
      <w:pPr>
        <w:pStyle w:val="Default"/>
        <w:spacing w:line="480" w:lineRule="auto"/>
        <w:jc w:val="both"/>
        <w:rPr>
          <w:position w:val="-12"/>
          <w:lang w:val="en-US"/>
        </w:rPr>
      </w:pPr>
      <w:r w:rsidRPr="007935DF">
        <w:rPr>
          <w:position w:val="-14"/>
          <w:lang w:val="en-US"/>
        </w:rPr>
        <w:object w:dxaOrig="7020" w:dyaOrig="380">
          <v:shape id="_x0000_i1048" type="#_x0000_t75" style="width:351pt;height:19.5pt" o:ole="" fillcolor="window">
            <v:imagedata r:id="rId60" o:title=""/>
          </v:shape>
          <o:OLEObject Type="Embed" ProgID="Equation.3" ShapeID="_x0000_i1048" DrawAspect="Content" ObjectID="_1392535500" r:id="rId61"/>
        </w:object>
      </w:r>
      <w:r>
        <w:rPr>
          <w:lang w:val="en-US"/>
        </w:rPr>
        <w:t xml:space="preserve">, </w:t>
      </w:r>
      <w:r w:rsidRPr="007935DF">
        <w:rPr>
          <w:rFonts w:ascii="Times New Roman" w:hAnsi="Times New Roman"/>
          <w:snapToGrid/>
          <w:color w:val="auto"/>
          <w:lang w:val="en-US"/>
        </w:rPr>
        <w:t>and</w:t>
      </w:r>
      <w:r>
        <w:rPr>
          <w:rFonts w:ascii="Times New Roman" w:hAnsi="Times New Roman"/>
          <w:snapToGrid/>
          <w:color w:val="auto"/>
          <w:lang w:val="en-US"/>
        </w:rPr>
        <w:tab/>
        <w:t>(</w:t>
      </w:r>
      <w:r w:rsidRPr="00DE7AB1">
        <w:rPr>
          <w:snapToGrid/>
          <w:color w:val="auto"/>
          <w:lang w:val="en-US"/>
        </w:rPr>
        <w:t>8</w:t>
      </w:r>
      <w:r>
        <w:rPr>
          <w:rFonts w:ascii="Times New Roman" w:hAnsi="Times New Roman"/>
          <w:snapToGrid/>
          <w:color w:val="auto"/>
          <w:lang w:val="en-US"/>
        </w:rPr>
        <w:t>)</w:t>
      </w:r>
      <w:r w:rsidRPr="00132E92">
        <w:rPr>
          <w:position w:val="-12"/>
          <w:lang w:val="en-US"/>
        </w:rPr>
        <w:object w:dxaOrig="3860" w:dyaOrig="360">
          <v:shape id="_x0000_i1049" type="#_x0000_t75" style="width:192.75pt;height:18pt" o:ole="" fillcolor="window">
            <v:imagedata r:id="rId62" o:title=""/>
          </v:shape>
          <o:OLEObject Type="Embed" ProgID="Equation.3" ShapeID="_x0000_i1049" DrawAspect="Content" ObjectID="_1392535501" r:id="rId63"/>
        </w:object>
      </w:r>
    </w:p>
    <w:p w:rsidR="00DE2587" w:rsidRPr="007935DF" w:rsidRDefault="00DE2587" w:rsidP="007935DF">
      <w:pPr>
        <w:pStyle w:val="Default"/>
        <w:spacing w:line="360" w:lineRule="auto"/>
        <w:jc w:val="both"/>
        <w:rPr>
          <w:rFonts w:ascii="Times New Roman" w:hAnsi="Times New Roman"/>
          <w:snapToGrid/>
          <w:color w:val="auto"/>
          <w:lang w:val="en-US"/>
        </w:rPr>
      </w:pPr>
    </w:p>
    <w:p w:rsidR="00DE2587" w:rsidRPr="005821E4" w:rsidRDefault="00DE2587" w:rsidP="007935DF">
      <w:pPr>
        <w:pStyle w:val="Default"/>
        <w:spacing w:line="360" w:lineRule="auto"/>
        <w:ind w:firstLine="708"/>
        <w:jc w:val="both"/>
        <w:rPr>
          <w:rFonts w:ascii="Times New Roman" w:hAnsi="Times New Roman"/>
          <w:snapToGrid/>
          <w:color w:val="auto"/>
          <w:lang w:val="en-US"/>
        </w:rPr>
      </w:pPr>
      <w:r>
        <w:rPr>
          <w:rFonts w:ascii="Times New Roman" w:hAnsi="Times New Roman"/>
          <w:snapToGrid/>
          <w:color w:val="auto"/>
          <w:lang w:val="en-US"/>
        </w:rPr>
        <w:t xml:space="preserve">The last problem that we have to deal with is how to separately estimate </w:t>
      </w:r>
      <w:r w:rsidRPr="00D13FA5">
        <w:rPr>
          <w:rFonts w:ascii="Times New Roman" w:hAnsi="Times New Roman"/>
          <w:snapToGrid/>
          <w:color w:val="auto"/>
          <w:position w:val="-10"/>
          <w:lang w:val="en-US"/>
        </w:rPr>
        <w:object w:dxaOrig="200" w:dyaOrig="260">
          <v:shape id="_x0000_i1050" type="#_x0000_t75" style="width:9.75pt;height:12.75pt" o:ole="" fillcolor="window">
            <v:imagedata r:id="rId64" o:title=""/>
          </v:shape>
          <o:OLEObject Type="Embed" ProgID="Equation.3" ShapeID="_x0000_i1050" DrawAspect="Content" ObjectID="_1392535502" r:id="rId65"/>
        </w:object>
      </w:r>
      <w:r w:rsidRPr="00D13FA5">
        <w:rPr>
          <w:rFonts w:ascii="Times New Roman" w:hAnsi="Times New Roman"/>
          <w:snapToGrid/>
          <w:color w:val="auto"/>
          <w:lang w:val="en-US"/>
        </w:rPr>
        <w:t xml:space="preserve"> and </w:t>
      </w:r>
      <w:r w:rsidRPr="00D13FA5">
        <w:rPr>
          <w:rFonts w:ascii="Times New Roman" w:hAnsi="Times New Roman"/>
          <w:snapToGrid/>
          <w:color w:val="auto"/>
          <w:position w:val="-10"/>
          <w:lang w:val="en-US"/>
        </w:rPr>
        <w:object w:dxaOrig="240" w:dyaOrig="260">
          <v:shape id="_x0000_i1051" type="#_x0000_t75" style="width:12pt;height:12.75pt" o:ole="" fillcolor="window">
            <v:imagedata r:id="rId66" o:title=""/>
          </v:shape>
          <o:OLEObject Type="Embed" ProgID="Equation.3" ShapeID="_x0000_i1051" DrawAspect="Content" ObjectID="_1392535503" r:id="rId67"/>
        </w:object>
      </w:r>
      <w:r>
        <w:rPr>
          <w:rFonts w:ascii="Times New Roman" w:hAnsi="Times New Roman"/>
          <w:snapToGrid/>
          <w:color w:val="auto"/>
          <w:lang w:val="en-US"/>
        </w:rPr>
        <w:t xml:space="preserve">. We follow an iterative maximum likelihood procedure as in Layard et al. (2008). First we compute </w:t>
      </w:r>
      <w:r w:rsidRPr="00C3593C">
        <w:rPr>
          <w:rFonts w:ascii="Times New Roman" w:hAnsi="Times New Roman"/>
          <w:snapToGrid/>
          <w:color w:val="auto"/>
          <w:position w:val="-12"/>
          <w:lang w:val="en-US"/>
        </w:rPr>
        <w:object w:dxaOrig="960" w:dyaOrig="360">
          <v:shape id="_x0000_i1052" type="#_x0000_t75" style="width:48pt;height:18pt" o:ole="" fillcolor="window">
            <v:imagedata r:id="rId68" o:title=""/>
          </v:shape>
          <o:OLEObject Type="Embed" ProgID="Equation.3" ShapeID="_x0000_i1052" DrawAspect="Content" ObjectID="_1392535504" r:id="rId69"/>
        </w:object>
      </w:r>
      <w:r w:rsidRPr="00D13FA5">
        <w:rPr>
          <w:rFonts w:ascii="Times New Roman" w:hAnsi="Times New Roman"/>
          <w:snapToGrid/>
          <w:color w:val="auto"/>
          <w:lang w:val="en-US"/>
        </w:rPr>
        <w:t xml:space="preserve"> for values of </w:t>
      </w:r>
      <w:r w:rsidRPr="00D13FA5">
        <w:rPr>
          <w:rFonts w:ascii="Times New Roman" w:hAnsi="Times New Roman"/>
          <w:snapToGrid/>
          <w:color w:val="auto"/>
          <w:position w:val="-10"/>
          <w:lang w:val="en-US"/>
        </w:rPr>
        <w:object w:dxaOrig="240" w:dyaOrig="260">
          <v:shape id="_x0000_i1053" type="#_x0000_t75" style="width:12pt;height:12.75pt" o:ole="" fillcolor="window">
            <v:imagedata r:id="rId70" o:title=""/>
          </v:shape>
          <o:OLEObject Type="Embed" ProgID="Equation.3" ShapeID="_x0000_i1053" DrawAspect="Content" ObjectID="_1392535505" r:id="rId71"/>
        </w:object>
      </w:r>
      <w:r>
        <w:rPr>
          <w:rFonts w:ascii="Times New Roman" w:hAnsi="Times New Roman"/>
          <w:snapToGrid/>
          <w:color w:val="auto"/>
          <w:lang w:val="en-US"/>
        </w:rPr>
        <w:t xml:space="preserve"> between 0 and 5 in steps of 0.1. Second, for each of these computations we estimate </w:t>
      </w:r>
      <w:r w:rsidRPr="00D13FA5">
        <w:rPr>
          <w:rFonts w:ascii="Times New Roman" w:hAnsi="Times New Roman"/>
          <w:snapToGrid/>
          <w:color w:val="auto"/>
          <w:position w:val="-10"/>
          <w:lang w:val="en-US"/>
        </w:rPr>
        <w:object w:dxaOrig="200" w:dyaOrig="260">
          <v:shape id="_x0000_i1054" type="#_x0000_t75" style="width:9.75pt;height:12.75pt" o:ole="" fillcolor="window">
            <v:imagedata r:id="rId64" o:title=""/>
          </v:shape>
          <o:OLEObject Type="Embed" ProgID="Equation.3" ShapeID="_x0000_i1054" DrawAspect="Content" ObjectID="_1392535506" r:id="rId72"/>
        </w:object>
      </w:r>
      <w:r>
        <w:rPr>
          <w:rFonts w:ascii="Times New Roman" w:hAnsi="Times New Roman"/>
          <w:snapToGrid/>
          <w:color w:val="auto"/>
          <w:lang w:val="en-US"/>
        </w:rPr>
        <w:t xml:space="preserve"> and the vector of parameters </w:t>
      </w:r>
      <w:r w:rsidRPr="00D13FA5">
        <w:rPr>
          <w:rFonts w:ascii="Times New Roman" w:hAnsi="Times New Roman"/>
          <w:snapToGrid/>
          <w:color w:val="auto"/>
          <w:position w:val="-10"/>
          <w:lang w:val="en-US"/>
        </w:rPr>
        <w:object w:dxaOrig="240" w:dyaOrig="320">
          <v:shape id="_x0000_i1055" type="#_x0000_t75" style="width:12pt;height:16.5pt" o:ole="" fillcolor="window">
            <v:imagedata r:id="rId73" o:title=""/>
          </v:shape>
          <o:OLEObject Type="Embed" ProgID="Equation.3" ShapeID="_x0000_i1055" DrawAspect="Content" ObjectID="_1392535507" r:id="rId74"/>
        </w:object>
      </w:r>
      <w:r>
        <w:rPr>
          <w:rFonts w:ascii="Times New Roman" w:hAnsi="Times New Roman"/>
          <w:snapToGrid/>
          <w:color w:val="auto"/>
          <w:lang w:val="en-US"/>
        </w:rPr>
        <w:t xml:space="preserve"> with an </w:t>
      </w:r>
      <w:r>
        <w:rPr>
          <w:rFonts w:ascii="Times New Roman" w:hAnsi="Times New Roman"/>
          <w:snapToGrid/>
          <w:color w:val="auto"/>
          <w:lang w:val="en-US"/>
        </w:rPr>
        <w:lastRenderedPageBreak/>
        <w:t xml:space="preserve">ordered logit model and save the resulting log-likelihood of the estimation. </w:t>
      </w:r>
      <w:r w:rsidRPr="000C7AE2">
        <w:rPr>
          <w:rFonts w:ascii="Times New Roman" w:hAnsi="Times New Roman"/>
          <w:snapToGrid/>
          <w:color w:val="auto"/>
          <w:lang w:val="en-US"/>
        </w:rPr>
        <w:t xml:space="preserve">In the vicinity of the maximum likelihood </w:t>
      </w:r>
      <w:r>
        <w:rPr>
          <w:rFonts w:ascii="Times New Roman" w:hAnsi="Times New Roman"/>
          <w:snapToGrid/>
          <w:color w:val="auto"/>
          <w:lang w:val="en-US"/>
        </w:rPr>
        <w:t xml:space="preserve">estimator </w:t>
      </w:r>
      <w:r w:rsidRPr="000C7AE2">
        <w:rPr>
          <w:rFonts w:ascii="Times New Roman" w:hAnsi="Times New Roman"/>
          <w:snapToGrid/>
          <w:color w:val="auto"/>
          <w:lang w:val="en-US"/>
        </w:rPr>
        <w:t>we repeat this procedure in steps of 0.01.</w:t>
      </w:r>
      <w:r>
        <w:rPr>
          <w:rFonts w:ascii="Times New Roman" w:hAnsi="Times New Roman"/>
          <w:snapToGrid/>
          <w:color w:val="auto"/>
          <w:lang w:val="en-US"/>
        </w:rPr>
        <w:t xml:space="preserve"> </w:t>
      </w:r>
    </w:p>
    <w:p w:rsidR="00DE2587" w:rsidRDefault="00DE2587" w:rsidP="007935DF">
      <w:pPr>
        <w:pStyle w:val="Default"/>
        <w:spacing w:line="360" w:lineRule="auto"/>
        <w:ind w:firstLine="708"/>
        <w:jc w:val="both"/>
        <w:rPr>
          <w:rFonts w:ascii="Times New Roman" w:hAnsi="Times New Roman"/>
          <w:snapToGrid/>
          <w:color w:val="auto"/>
          <w:lang w:val="en-US"/>
        </w:rPr>
      </w:pPr>
      <w:r w:rsidRPr="00187388">
        <w:rPr>
          <w:rFonts w:ascii="Times New Roman" w:hAnsi="Times New Roman"/>
          <w:snapToGrid/>
          <w:color w:val="auto"/>
          <w:lang w:val="en-US"/>
        </w:rPr>
        <w:t>In order to be sure that our results are not affected by outliers in the income reports we trim observations corresponding to the bottom 5 percent and the top 5 percent of the distribution of residuals of a regression of the log of relative income on individual controls, as in Layard et al. (2008).</w:t>
      </w:r>
    </w:p>
    <w:p w:rsidR="00DE2587" w:rsidRDefault="00DE2587" w:rsidP="007935DF">
      <w:pPr>
        <w:pStyle w:val="Default"/>
        <w:spacing w:line="360" w:lineRule="auto"/>
        <w:ind w:firstLine="708"/>
        <w:jc w:val="both"/>
        <w:rPr>
          <w:rFonts w:ascii="Times New Roman" w:hAnsi="Times New Roman"/>
          <w:snapToGrid/>
          <w:color w:val="auto"/>
          <w:lang w:val="en-US"/>
        </w:rPr>
      </w:pPr>
    </w:p>
    <w:p w:rsidR="00DE2587" w:rsidRDefault="00DE2587" w:rsidP="00FB349C">
      <w:pPr>
        <w:keepNext/>
        <w:numPr>
          <w:ilvl w:val="1"/>
          <w:numId w:val="8"/>
        </w:numPr>
        <w:spacing w:line="360" w:lineRule="auto"/>
        <w:ind w:left="562"/>
        <w:jc w:val="both"/>
        <w:rPr>
          <w:b/>
          <w:sz w:val="24"/>
          <w:lang w:val="en-US"/>
        </w:rPr>
      </w:pPr>
      <w:r>
        <w:rPr>
          <w:b/>
          <w:sz w:val="24"/>
          <w:lang w:val="en-US"/>
        </w:rPr>
        <w:t>Health state dependence</w:t>
      </w:r>
    </w:p>
    <w:p w:rsidR="00DE2587" w:rsidRDefault="00DE2587" w:rsidP="0097439B">
      <w:pPr>
        <w:spacing w:line="360" w:lineRule="auto"/>
        <w:ind w:left="567"/>
        <w:jc w:val="both"/>
        <w:rPr>
          <w:b/>
          <w:sz w:val="24"/>
          <w:lang w:val="en-US"/>
        </w:rPr>
      </w:pPr>
    </w:p>
    <w:p w:rsidR="00000000" w:rsidRDefault="00DE2587">
      <w:pPr>
        <w:pStyle w:val="Default"/>
        <w:spacing w:line="360" w:lineRule="auto"/>
        <w:jc w:val="both"/>
        <w:rPr>
          <w:rFonts w:ascii="Times New Roman" w:hAnsi="Times New Roman"/>
          <w:snapToGrid/>
          <w:color w:val="auto"/>
          <w:lang w:val="en-US"/>
        </w:rPr>
      </w:pPr>
      <w:r w:rsidRPr="00011C70">
        <w:rPr>
          <w:rFonts w:ascii="Times New Roman" w:hAnsi="Times New Roman"/>
          <w:snapToGrid/>
          <w:color w:val="auto"/>
          <w:lang w:val="en-US"/>
        </w:rPr>
        <w:t xml:space="preserve">The previous estimation strategy can be easily extended to </w:t>
      </w:r>
      <w:r>
        <w:rPr>
          <w:rFonts w:ascii="Times New Roman" w:hAnsi="Times New Roman"/>
          <w:snapToGrid/>
          <w:color w:val="auto"/>
          <w:lang w:val="en-US"/>
        </w:rPr>
        <w:t>analyze the effect</w:t>
      </w:r>
      <w:r w:rsidRPr="00011C70">
        <w:rPr>
          <w:rFonts w:ascii="Times New Roman" w:hAnsi="Times New Roman"/>
          <w:snapToGrid/>
          <w:color w:val="auto"/>
          <w:lang w:val="en-US"/>
        </w:rPr>
        <w:t xml:space="preserve"> </w:t>
      </w:r>
      <w:r>
        <w:rPr>
          <w:rFonts w:ascii="Times New Roman" w:hAnsi="Times New Roman"/>
          <w:snapToGrid/>
          <w:color w:val="auto"/>
          <w:lang w:val="en-US"/>
        </w:rPr>
        <w:t xml:space="preserve">of </w:t>
      </w:r>
      <w:r w:rsidRPr="00011C70">
        <w:rPr>
          <w:rFonts w:ascii="Times New Roman" w:hAnsi="Times New Roman"/>
          <w:snapToGrid/>
          <w:color w:val="auto"/>
          <w:lang w:val="en-US"/>
        </w:rPr>
        <w:t xml:space="preserve">health </w:t>
      </w:r>
      <w:r>
        <w:rPr>
          <w:rFonts w:ascii="Times New Roman" w:hAnsi="Times New Roman"/>
          <w:snapToGrid/>
          <w:color w:val="auto"/>
          <w:lang w:val="en-US"/>
        </w:rPr>
        <w:t>status on the utility function</w:t>
      </w:r>
      <w:r w:rsidRPr="00011C70">
        <w:rPr>
          <w:rFonts w:ascii="Times New Roman" w:hAnsi="Times New Roman"/>
          <w:snapToGrid/>
          <w:color w:val="auto"/>
          <w:lang w:val="en-US"/>
        </w:rPr>
        <w:t xml:space="preserve">. We denote </w:t>
      </w:r>
      <w:r>
        <w:rPr>
          <w:rFonts w:ascii="Times New Roman" w:hAnsi="Times New Roman"/>
          <w:snapToGrid/>
          <w:color w:val="auto"/>
          <w:lang w:val="en-US"/>
        </w:rPr>
        <w:t xml:space="preserve">by </w:t>
      </w:r>
      <w:r w:rsidRPr="00D64CA8">
        <w:rPr>
          <w:rFonts w:ascii="Times New Roman" w:hAnsi="Times New Roman"/>
          <w:i/>
          <w:snapToGrid/>
          <w:color w:val="auto"/>
          <w:lang w:val="en-US"/>
        </w:rPr>
        <w:t>S</w:t>
      </w:r>
      <w:r w:rsidRPr="00D64CA8">
        <w:rPr>
          <w:rFonts w:ascii="Times New Roman" w:hAnsi="Times New Roman"/>
          <w:i/>
          <w:snapToGrid/>
          <w:color w:val="auto"/>
          <w:vertAlign w:val="subscript"/>
          <w:lang w:val="en-US"/>
        </w:rPr>
        <w:t>i</w:t>
      </w:r>
      <w:r w:rsidRPr="00011C70">
        <w:rPr>
          <w:rFonts w:ascii="Times New Roman" w:hAnsi="Times New Roman"/>
          <w:snapToGrid/>
          <w:color w:val="auto"/>
          <w:lang w:val="en-US"/>
        </w:rPr>
        <w:t xml:space="preserve"> (</w:t>
      </w:r>
      <w:r>
        <w:rPr>
          <w:rFonts w:ascii="Times New Roman" w:hAnsi="Times New Roman"/>
          <w:snapToGrid/>
          <w:color w:val="auto"/>
          <w:lang w:val="en-US"/>
        </w:rPr>
        <w:t>for</w:t>
      </w:r>
      <w:r w:rsidRPr="00011C70">
        <w:rPr>
          <w:rFonts w:ascii="Times New Roman" w:hAnsi="Times New Roman"/>
          <w:snapToGrid/>
          <w:color w:val="auto"/>
          <w:lang w:val="en-US"/>
        </w:rPr>
        <w:t xml:space="preserve"> sick)</w:t>
      </w:r>
      <w:r w:rsidRPr="00011C70" w:rsidDel="00BB3C7A">
        <w:rPr>
          <w:rFonts w:ascii="Times New Roman" w:hAnsi="Times New Roman"/>
          <w:snapToGrid/>
          <w:color w:val="auto"/>
          <w:lang w:val="en-US"/>
        </w:rPr>
        <w:t xml:space="preserve"> </w:t>
      </w:r>
      <w:r w:rsidRPr="00011C70">
        <w:rPr>
          <w:rFonts w:ascii="Times New Roman" w:hAnsi="Times New Roman"/>
          <w:snapToGrid/>
          <w:color w:val="auto"/>
          <w:lang w:val="en-US"/>
        </w:rPr>
        <w:t xml:space="preserve">a dummy variable </w:t>
      </w:r>
      <w:r>
        <w:rPr>
          <w:rFonts w:ascii="Times New Roman" w:hAnsi="Times New Roman"/>
          <w:snapToGrid/>
          <w:color w:val="auto"/>
          <w:lang w:val="en-US"/>
        </w:rPr>
        <w:t>which takes the value of 1 if individuals provide</w:t>
      </w:r>
      <w:r w:rsidRPr="00011C70">
        <w:rPr>
          <w:rFonts w:ascii="Times New Roman" w:hAnsi="Times New Roman"/>
          <w:snapToGrid/>
          <w:color w:val="auto"/>
          <w:lang w:val="en-US"/>
        </w:rPr>
        <w:t xml:space="preserve"> </w:t>
      </w:r>
      <w:r>
        <w:rPr>
          <w:rFonts w:ascii="Times New Roman" w:hAnsi="Times New Roman"/>
          <w:snapToGrid/>
          <w:color w:val="auto"/>
          <w:lang w:val="en-US"/>
        </w:rPr>
        <w:t xml:space="preserve">an affirmative answer to the question on </w:t>
      </w:r>
      <w:r w:rsidRPr="00011C70">
        <w:rPr>
          <w:rFonts w:ascii="Times New Roman" w:hAnsi="Times New Roman"/>
          <w:snapToGrid/>
          <w:color w:val="auto"/>
          <w:lang w:val="en-US"/>
        </w:rPr>
        <w:t>personal</w:t>
      </w:r>
      <w:r>
        <w:rPr>
          <w:rFonts w:ascii="Times New Roman" w:hAnsi="Times New Roman"/>
          <w:snapToGrid/>
          <w:color w:val="auto"/>
          <w:lang w:val="en-US"/>
        </w:rPr>
        <w:t xml:space="preserve"> </w:t>
      </w:r>
      <w:r w:rsidRPr="00011C70">
        <w:rPr>
          <w:rFonts w:ascii="Times New Roman" w:hAnsi="Times New Roman"/>
          <w:snapToGrid/>
          <w:color w:val="auto"/>
          <w:lang w:val="en-US"/>
        </w:rPr>
        <w:t>health</w:t>
      </w:r>
      <w:r>
        <w:rPr>
          <w:rFonts w:ascii="Times New Roman" w:hAnsi="Times New Roman"/>
          <w:snapToGrid/>
          <w:color w:val="auto"/>
          <w:lang w:val="en-US"/>
        </w:rPr>
        <w:t xml:space="preserve"> problems</w:t>
      </w:r>
      <w:r w:rsidRPr="00011C70">
        <w:rPr>
          <w:rFonts w:ascii="Times New Roman" w:hAnsi="Times New Roman"/>
          <w:snapToGrid/>
          <w:color w:val="auto"/>
          <w:lang w:val="en-US"/>
        </w:rPr>
        <w:t xml:space="preserve"> and </w:t>
      </w:r>
      <w:r>
        <w:rPr>
          <w:rFonts w:ascii="Times New Roman" w:hAnsi="Times New Roman"/>
          <w:snapToGrid/>
          <w:color w:val="auto"/>
          <w:lang w:val="en-US"/>
        </w:rPr>
        <w:t>rewrite the equation for the utility function over income and health status as:</w:t>
      </w:r>
    </w:p>
    <w:p w:rsidR="00DE2587" w:rsidRDefault="00DE2587" w:rsidP="00011C70">
      <w:pPr>
        <w:pStyle w:val="Default"/>
        <w:spacing w:line="360" w:lineRule="auto"/>
        <w:ind w:firstLine="708"/>
        <w:jc w:val="both"/>
        <w:rPr>
          <w:rFonts w:ascii="Times New Roman" w:hAnsi="Times New Roman"/>
          <w:snapToGrid/>
          <w:color w:val="auto"/>
          <w:lang w:val="en-US"/>
        </w:rPr>
      </w:pPr>
    </w:p>
    <w:p w:rsidR="00DE2587" w:rsidRDefault="00DE2587" w:rsidP="0097439B">
      <w:pPr>
        <w:pStyle w:val="Default"/>
        <w:spacing w:line="360" w:lineRule="auto"/>
        <w:jc w:val="both"/>
        <w:rPr>
          <w:rFonts w:ascii="Times New Roman" w:hAnsi="Times New Roman"/>
          <w:snapToGrid/>
          <w:color w:val="auto"/>
          <w:lang w:val="en-US"/>
        </w:rPr>
      </w:pPr>
      <w:r w:rsidRPr="00011C70">
        <w:rPr>
          <w:rFonts w:ascii="Times New Roman" w:hAnsi="Times New Roman"/>
          <w:snapToGrid/>
          <w:color w:val="auto"/>
          <w:position w:val="-12"/>
          <w:lang w:val="en-US"/>
        </w:rPr>
        <w:object w:dxaOrig="3480" w:dyaOrig="360">
          <v:shape id="_x0000_i1056" type="#_x0000_t75" style="width:174.75pt;height:18pt" o:ole="" fillcolor="window">
            <v:imagedata r:id="rId75" o:title=""/>
          </v:shape>
          <o:OLEObject Type="Embed" ProgID="Equation.3" ShapeID="_x0000_i1056" DrawAspect="Content" ObjectID="_1392535508" r:id="rId76"/>
        </w:object>
      </w:r>
      <w:r>
        <w:rPr>
          <w:rFonts w:ascii="Times New Roman" w:hAnsi="Times New Roman"/>
          <w:snapToGrid/>
          <w:color w:val="auto"/>
          <w:position w:val="-12"/>
          <w:lang w:val="en-US"/>
        </w:rPr>
        <w:tab/>
      </w:r>
      <w:r>
        <w:rPr>
          <w:rFonts w:ascii="Times New Roman" w:hAnsi="Times New Roman"/>
          <w:snapToGrid/>
          <w:color w:val="auto"/>
          <w:position w:val="-12"/>
          <w:lang w:val="en-US"/>
        </w:rPr>
        <w:tab/>
      </w:r>
      <w:r>
        <w:rPr>
          <w:rFonts w:ascii="Times New Roman" w:hAnsi="Times New Roman"/>
          <w:snapToGrid/>
          <w:color w:val="auto"/>
          <w:position w:val="-12"/>
          <w:lang w:val="en-US"/>
        </w:rPr>
        <w:tab/>
      </w:r>
      <w:r>
        <w:rPr>
          <w:rFonts w:ascii="Times New Roman" w:hAnsi="Times New Roman"/>
          <w:snapToGrid/>
          <w:color w:val="auto"/>
          <w:position w:val="-12"/>
          <w:lang w:val="en-US"/>
        </w:rPr>
        <w:tab/>
      </w:r>
      <w:r>
        <w:rPr>
          <w:rFonts w:ascii="Times New Roman" w:hAnsi="Times New Roman"/>
          <w:snapToGrid/>
          <w:color w:val="auto"/>
          <w:position w:val="-12"/>
          <w:lang w:val="en-US"/>
        </w:rPr>
        <w:tab/>
      </w:r>
      <w:r>
        <w:rPr>
          <w:rFonts w:ascii="Times New Roman" w:hAnsi="Times New Roman"/>
          <w:snapToGrid/>
          <w:color w:val="auto"/>
          <w:position w:val="-12"/>
          <w:lang w:val="en-US"/>
        </w:rPr>
        <w:tab/>
      </w:r>
      <w:r>
        <w:rPr>
          <w:rFonts w:ascii="Times New Roman" w:hAnsi="Times New Roman"/>
          <w:snapToGrid/>
          <w:color w:val="auto"/>
          <w:position w:val="-12"/>
          <w:lang w:val="en-US"/>
        </w:rPr>
        <w:tab/>
        <w:t>(</w:t>
      </w:r>
      <w:r w:rsidRPr="00DE7AB1">
        <w:rPr>
          <w:snapToGrid/>
          <w:color w:val="auto"/>
          <w:position w:val="-12"/>
          <w:lang w:val="en-US"/>
        </w:rPr>
        <w:t>9</w:t>
      </w:r>
      <w:r>
        <w:rPr>
          <w:rFonts w:ascii="Times New Roman" w:hAnsi="Times New Roman"/>
          <w:snapToGrid/>
          <w:color w:val="auto"/>
          <w:position w:val="-12"/>
          <w:lang w:val="en-US"/>
        </w:rPr>
        <w:t>)</w:t>
      </w:r>
    </w:p>
    <w:p w:rsidR="00DE2587" w:rsidRDefault="00DE2587" w:rsidP="00152052">
      <w:pPr>
        <w:pStyle w:val="Default"/>
        <w:spacing w:line="360" w:lineRule="auto"/>
        <w:jc w:val="both"/>
        <w:rPr>
          <w:rFonts w:ascii="Times New Roman" w:hAnsi="Times New Roman"/>
          <w:snapToGrid/>
          <w:color w:val="auto"/>
          <w:lang w:val="en-US"/>
        </w:rPr>
      </w:pPr>
    </w:p>
    <w:p w:rsidR="00DE2587" w:rsidRPr="00011C70" w:rsidRDefault="00DE2587" w:rsidP="00152052">
      <w:pPr>
        <w:pStyle w:val="Default"/>
        <w:spacing w:line="360" w:lineRule="auto"/>
        <w:jc w:val="both"/>
        <w:rPr>
          <w:rFonts w:ascii="Times New Roman" w:hAnsi="Times New Roman"/>
          <w:snapToGrid/>
          <w:color w:val="auto"/>
          <w:lang w:val="en-US"/>
        </w:rPr>
      </w:pPr>
      <w:r>
        <w:rPr>
          <w:rFonts w:ascii="Times New Roman" w:hAnsi="Times New Roman"/>
          <w:snapToGrid/>
          <w:color w:val="auto"/>
          <w:lang w:val="en-US"/>
        </w:rPr>
        <w:t xml:space="preserve">The coefficient </w:t>
      </w:r>
      <w:r w:rsidRPr="0088032D">
        <w:rPr>
          <w:rFonts w:ascii="Garamond" w:hAnsi="Garamond"/>
          <w:i/>
          <w:snapToGrid/>
          <w:color w:val="auto"/>
          <w:lang w:val="en-US"/>
        </w:rPr>
        <w:t>η</w:t>
      </w:r>
      <w:r>
        <w:rPr>
          <w:rFonts w:ascii="Times New Roman" w:hAnsi="Times New Roman"/>
          <w:snapToGrid/>
          <w:color w:val="auto"/>
          <w:lang w:val="en-US"/>
        </w:rPr>
        <w:t xml:space="preserve"> reflects shifts in utility from dissatisfaction with personal health which do not modify the marginal utility income, while the coefficient </w:t>
      </w:r>
      <w:r w:rsidRPr="0088032D">
        <w:rPr>
          <w:rFonts w:ascii="Garamond" w:hAnsi="Garamond"/>
          <w:i/>
          <w:snapToGrid/>
          <w:color w:val="auto"/>
          <w:lang w:val="en-US"/>
        </w:rPr>
        <w:t>γ</w:t>
      </w:r>
      <w:r w:rsidRPr="0088032D">
        <w:rPr>
          <w:i/>
          <w:sz w:val="18"/>
          <w:vertAlign w:val="subscript"/>
          <w:lang w:val="en-US"/>
        </w:rPr>
        <w:t>2</w:t>
      </w:r>
      <w:r>
        <w:rPr>
          <w:rFonts w:ascii="Times New Roman" w:hAnsi="Times New Roman"/>
          <w:snapToGrid/>
          <w:color w:val="auto"/>
          <w:vertAlign w:val="subscript"/>
          <w:lang w:val="en-US"/>
        </w:rPr>
        <w:t xml:space="preserve"> </w:t>
      </w:r>
      <w:r>
        <w:rPr>
          <w:rFonts w:ascii="Times New Roman" w:hAnsi="Times New Roman"/>
          <w:snapToGrid/>
          <w:color w:val="auto"/>
          <w:lang w:val="en-US"/>
        </w:rPr>
        <w:t xml:space="preserve">represents changes in the marginal utility of income from changes in health status. We use the same iterative procedure described before to estimate the modified model. </w:t>
      </w:r>
    </w:p>
    <w:p w:rsidR="00E67C31" w:rsidRDefault="00E67C31" w:rsidP="00E67C31">
      <w:pPr>
        <w:rPr>
          <w:b/>
          <w:sz w:val="24"/>
          <w:lang w:val="en-US"/>
        </w:rPr>
      </w:pPr>
    </w:p>
    <w:p w:rsidR="00DE2587" w:rsidRPr="00E67C31" w:rsidRDefault="00DE2587" w:rsidP="001131C0">
      <w:pPr>
        <w:pStyle w:val="Prrafodelista"/>
        <w:keepNext/>
        <w:numPr>
          <w:ilvl w:val="0"/>
          <w:numId w:val="8"/>
        </w:numPr>
        <w:rPr>
          <w:b/>
          <w:sz w:val="24"/>
          <w:lang w:val="en-US"/>
        </w:rPr>
      </w:pPr>
      <w:r w:rsidRPr="00E67C31">
        <w:rPr>
          <w:b/>
          <w:sz w:val="24"/>
          <w:lang w:val="en-US"/>
        </w:rPr>
        <w:t>Results</w:t>
      </w:r>
    </w:p>
    <w:p w:rsidR="00DE2587" w:rsidRPr="0097439B" w:rsidRDefault="00DE2587" w:rsidP="0097439B">
      <w:pPr>
        <w:pStyle w:val="Prrafodelista"/>
        <w:spacing w:line="360" w:lineRule="auto"/>
        <w:ind w:left="360"/>
        <w:jc w:val="both"/>
        <w:rPr>
          <w:b/>
          <w:sz w:val="24"/>
          <w:lang w:val="en-US"/>
        </w:rPr>
      </w:pPr>
    </w:p>
    <w:p w:rsidR="00000000" w:rsidRDefault="00DE2587">
      <w:pPr>
        <w:spacing w:line="360" w:lineRule="auto"/>
        <w:jc w:val="both"/>
        <w:rPr>
          <w:sz w:val="24"/>
          <w:lang w:val="en-US"/>
        </w:rPr>
      </w:pPr>
      <w:r w:rsidRPr="00263B7C">
        <w:rPr>
          <w:sz w:val="24"/>
          <w:lang w:val="en-US"/>
        </w:rPr>
        <w:t>We perform our estimation</w:t>
      </w:r>
      <w:r>
        <w:rPr>
          <w:sz w:val="24"/>
          <w:lang w:val="en-US"/>
        </w:rPr>
        <w:t>s</w:t>
      </w:r>
      <w:r w:rsidRPr="00263B7C">
        <w:rPr>
          <w:sz w:val="24"/>
          <w:lang w:val="en-US"/>
        </w:rPr>
        <w:t xml:space="preserve"> for </w:t>
      </w:r>
      <w:r>
        <w:rPr>
          <w:sz w:val="24"/>
          <w:lang w:val="en-US"/>
        </w:rPr>
        <w:t xml:space="preserve">five </w:t>
      </w:r>
      <w:r w:rsidRPr="00263B7C">
        <w:rPr>
          <w:sz w:val="24"/>
          <w:lang w:val="en-US"/>
        </w:rPr>
        <w:t>different sets of countries</w:t>
      </w:r>
      <w:r>
        <w:rPr>
          <w:sz w:val="24"/>
          <w:lang w:val="en-US"/>
        </w:rPr>
        <w:t xml:space="preserve"> categorized in terms of income using the World Bank’s income classifications: High income OECD, high income non-OECD, upper middle income, lower middle income, and low income</w:t>
      </w:r>
      <w:r w:rsidRPr="00263B7C">
        <w:rPr>
          <w:sz w:val="24"/>
          <w:lang w:val="en-US"/>
        </w:rPr>
        <w:t xml:space="preserve">. </w:t>
      </w:r>
      <w:r>
        <w:rPr>
          <w:sz w:val="24"/>
          <w:lang w:val="en-US"/>
        </w:rPr>
        <w:t xml:space="preserve">We also estimate the models with all the pooled observations and for each country individually. Whenever we pool data from several countries we include country dummies in the estimation. </w:t>
      </w:r>
    </w:p>
    <w:p w:rsidR="00DE2587" w:rsidRDefault="00D91AE2" w:rsidP="0097439B">
      <w:pPr>
        <w:spacing w:line="360" w:lineRule="auto"/>
        <w:ind w:firstLine="360"/>
        <w:jc w:val="both"/>
        <w:rPr>
          <w:sz w:val="24"/>
          <w:lang w:val="en-US"/>
        </w:rPr>
      </w:pPr>
      <w:r>
        <w:rPr>
          <w:sz w:val="24"/>
          <w:lang w:val="en-US"/>
        </w:rPr>
        <w:t xml:space="preserve">The top panel of </w:t>
      </w:r>
      <w:r w:rsidR="00DE2587">
        <w:rPr>
          <w:sz w:val="24"/>
          <w:lang w:val="en-US"/>
        </w:rPr>
        <w:t xml:space="preserve">Table </w:t>
      </w:r>
      <w:r>
        <w:rPr>
          <w:sz w:val="24"/>
          <w:lang w:val="en-US"/>
        </w:rPr>
        <w:t>2</w:t>
      </w:r>
      <w:r w:rsidR="00DE2587">
        <w:rPr>
          <w:sz w:val="24"/>
          <w:lang w:val="en-US"/>
        </w:rPr>
        <w:t xml:space="preserve"> reports the estimates of the relative risk aversion coefficient with and without health dependence</w:t>
      </w:r>
      <w:r w:rsidR="00497179">
        <w:rPr>
          <w:sz w:val="24"/>
          <w:lang w:val="en-US"/>
        </w:rPr>
        <w:t xml:space="preserve"> in the Gallup data set</w:t>
      </w:r>
      <w:r w:rsidR="00DE2587">
        <w:rPr>
          <w:sz w:val="24"/>
          <w:lang w:val="en-US"/>
        </w:rPr>
        <w:t xml:space="preserve">. The reported coefficients are for the 5 income country classifications, the United States, and the overall pooled estimation. The table also reports likelihood ratio tests for the null </w:t>
      </w:r>
      <w:r w:rsidR="00DE2587">
        <w:rPr>
          <w:sz w:val="24"/>
          <w:lang w:val="en-US"/>
        </w:rPr>
        <w:lastRenderedPageBreak/>
        <w:t>hypothesis of log utility (</w:t>
      </w:r>
      <w:r w:rsidR="00DE7AB1" w:rsidRPr="00D13FA5">
        <w:rPr>
          <w:position w:val="-10"/>
          <w:lang w:val="en-US"/>
        </w:rPr>
        <w:object w:dxaOrig="240" w:dyaOrig="260">
          <v:shape id="_x0000_i1057" type="#_x0000_t75" style="width:12pt;height:12.75pt" o:ole="" fillcolor="window">
            <v:imagedata r:id="rId66" o:title=""/>
          </v:shape>
          <o:OLEObject Type="Embed" ProgID="Equation.3" ShapeID="_x0000_i1057" DrawAspect="Content" ObjectID="_1392535509" r:id="rId77"/>
        </w:object>
      </w:r>
      <w:r w:rsidR="00DE2587">
        <w:rPr>
          <w:sz w:val="24"/>
          <w:lang w:val="en-US"/>
        </w:rPr>
        <w:t>=1), and t</w:t>
      </w:r>
      <w:r w:rsidR="00DE2587" w:rsidRPr="005F08FE">
        <w:rPr>
          <w:sz w:val="24"/>
          <w:lang w:val="en-US"/>
        </w:rPr>
        <w:t>he bold coefficients indicate statistical significance at the 10% confidence level.</w:t>
      </w:r>
    </w:p>
    <w:p w:rsidR="00DE2587" w:rsidRDefault="00497179" w:rsidP="001A3B45">
      <w:pPr>
        <w:spacing w:line="360" w:lineRule="auto"/>
        <w:ind w:firstLine="360"/>
        <w:jc w:val="both"/>
        <w:rPr>
          <w:sz w:val="24"/>
          <w:lang w:val="en-US"/>
        </w:rPr>
      </w:pPr>
      <w:r>
        <w:rPr>
          <w:sz w:val="24"/>
          <w:lang w:val="en-US"/>
        </w:rPr>
        <w:t xml:space="preserve">The </w:t>
      </w:r>
      <w:r w:rsidR="00DE2587">
        <w:rPr>
          <w:sz w:val="24"/>
          <w:lang w:val="en-US"/>
        </w:rPr>
        <w:t xml:space="preserve">estimates of the relative risk aversion coefficient </w:t>
      </w:r>
      <w:r>
        <w:rPr>
          <w:sz w:val="24"/>
          <w:lang w:val="en-US"/>
        </w:rPr>
        <w:t xml:space="preserve">in the Gallup data </w:t>
      </w:r>
      <w:r w:rsidR="00DE2587">
        <w:rPr>
          <w:sz w:val="24"/>
          <w:lang w:val="en-US"/>
        </w:rPr>
        <w:t>for the various income groups and the overall estimate without controlling for health dependence are in the range 0.6</w:t>
      </w:r>
      <w:r>
        <w:rPr>
          <w:sz w:val="24"/>
          <w:lang w:val="en-US"/>
        </w:rPr>
        <w:t>3</w:t>
      </w:r>
      <w:r w:rsidR="00DE2587">
        <w:rPr>
          <w:sz w:val="24"/>
          <w:lang w:val="en-US"/>
        </w:rPr>
        <w:t xml:space="preserve"> to </w:t>
      </w:r>
      <w:r>
        <w:rPr>
          <w:sz w:val="24"/>
          <w:lang w:val="en-US"/>
        </w:rPr>
        <w:t>0.89</w:t>
      </w:r>
      <w:r w:rsidR="00DE2587">
        <w:rPr>
          <w:sz w:val="24"/>
          <w:lang w:val="en-US"/>
        </w:rPr>
        <w:t xml:space="preserve"> and we do not observe a monotonic relation between income groups and the estimated relative risk aversion coefficient. The estimate with all countries, the estimate for high-income OECD countries, and for low income countries are statistically different from one (which corresponds to log utility), while the coefficients for high-income non-OECD and lower- and upper-middle income countries are not statistically different from one at a 10% confidence level. The estimate for the United States without health dependence is quite higher than the group estimates at 1.4</w:t>
      </w:r>
      <w:r>
        <w:rPr>
          <w:sz w:val="24"/>
          <w:lang w:val="en-US"/>
        </w:rPr>
        <w:t>8</w:t>
      </w:r>
      <w:r w:rsidR="00DE2587">
        <w:rPr>
          <w:sz w:val="24"/>
          <w:lang w:val="en-US"/>
        </w:rPr>
        <w:t xml:space="preserve">, but it is not statistically different from one. Adding health status in the utility function tends to reduce the estimates of the relative risk aversion coefficients across all groups and the United States. </w:t>
      </w:r>
    </w:p>
    <w:p w:rsidR="00EA2348" w:rsidRDefault="00D91AE2" w:rsidP="001A3B45">
      <w:pPr>
        <w:spacing w:line="360" w:lineRule="auto"/>
        <w:ind w:firstLine="360"/>
        <w:jc w:val="both"/>
        <w:rPr>
          <w:sz w:val="24"/>
          <w:lang w:val="en-US"/>
        </w:rPr>
      </w:pPr>
      <w:r>
        <w:rPr>
          <w:sz w:val="24"/>
          <w:lang w:val="en-US"/>
        </w:rPr>
        <w:t>The middle panel</w:t>
      </w:r>
      <w:r w:rsidR="00EA2348">
        <w:rPr>
          <w:sz w:val="24"/>
          <w:lang w:val="en-US"/>
        </w:rPr>
        <w:t xml:space="preserve"> reports the estimates of relative risk aversion in the European Social Survey. In this data set, most countries fall in the either the upper-middle-income or high-income-OECD classifications. The overall estimate without health dependence is 1.44, and it is significantly different from 1. Similarly, the estimate for high-income-OECD countries is 1.41 and it is significantly different from 1. The estimate for upper-middle-income countries is 1.06 and it is not significantly different from 1. Adding health dependence in the utility function reduces the point estimates for the overall estimates and for high-income-OECD countries, but they remain significantly different from 1.</w:t>
      </w:r>
    </w:p>
    <w:p w:rsidR="00EA2348" w:rsidRDefault="00EA2348" w:rsidP="00BA47D7">
      <w:pPr>
        <w:spacing w:line="360" w:lineRule="auto"/>
        <w:ind w:firstLine="360"/>
        <w:jc w:val="both"/>
        <w:rPr>
          <w:sz w:val="24"/>
          <w:lang w:val="en-US"/>
        </w:rPr>
      </w:pPr>
      <w:r>
        <w:rPr>
          <w:sz w:val="24"/>
          <w:lang w:val="en-US"/>
        </w:rPr>
        <w:t xml:space="preserve">The estimates with the World Values Survey, reported in </w:t>
      </w:r>
      <w:r w:rsidR="00D91AE2">
        <w:rPr>
          <w:sz w:val="24"/>
          <w:lang w:val="en-US"/>
        </w:rPr>
        <w:t>bottom panel</w:t>
      </w:r>
      <w:r>
        <w:rPr>
          <w:sz w:val="24"/>
          <w:lang w:val="en-US"/>
        </w:rPr>
        <w:t xml:space="preserve">, present a similar picture as that portrayed with the ESS estimates. The overall estimate </w:t>
      </w:r>
      <w:r w:rsidR="007F3C25">
        <w:rPr>
          <w:sz w:val="24"/>
          <w:lang w:val="en-US"/>
        </w:rPr>
        <w:t xml:space="preserve">(1.16) </w:t>
      </w:r>
      <w:r>
        <w:rPr>
          <w:sz w:val="24"/>
          <w:lang w:val="en-US"/>
        </w:rPr>
        <w:t>and those for high-income-OECD</w:t>
      </w:r>
      <w:r w:rsidR="007F3C25">
        <w:rPr>
          <w:sz w:val="24"/>
          <w:lang w:val="en-US"/>
        </w:rPr>
        <w:t xml:space="preserve"> (1.45)</w:t>
      </w:r>
      <w:r>
        <w:rPr>
          <w:sz w:val="24"/>
          <w:lang w:val="en-US"/>
        </w:rPr>
        <w:t xml:space="preserve">, as well as for upper-middle-income </w:t>
      </w:r>
      <w:r w:rsidR="007F3C25">
        <w:rPr>
          <w:sz w:val="24"/>
          <w:lang w:val="en-US"/>
        </w:rPr>
        <w:t xml:space="preserve">(1.35) </w:t>
      </w:r>
      <w:r>
        <w:rPr>
          <w:sz w:val="24"/>
          <w:lang w:val="en-US"/>
        </w:rPr>
        <w:t>are greater than 1 in magnitude and statistically significantly different from 1.</w:t>
      </w:r>
      <w:r w:rsidR="00354CC8">
        <w:rPr>
          <w:sz w:val="24"/>
          <w:lang w:val="en-US"/>
        </w:rPr>
        <w:t xml:space="preserve"> The estimates for high-income-non-OECD </w:t>
      </w:r>
      <w:r w:rsidR="007F3C25">
        <w:rPr>
          <w:sz w:val="24"/>
          <w:lang w:val="en-US"/>
        </w:rPr>
        <w:t xml:space="preserve">(0.71) </w:t>
      </w:r>
      <w:r w:rsidR="00354CC8">
        <w:rPr>
          <w:sz w:val="24"/>
          <w:lang w:val="en-US"/>
        </w:rPr>
        <w:t xml:space="preserve">and for low-income countries </w:t>
      </w:r>
      <w:r w:rsidR="007F3C25">
        <w:rPr>
          <w:sz w:val="24"/>
          <w:lang w:val="en-US"/>
        </w:rPr>
        <w:t xml:space="preserve">(1.35) </w:t>
      </w:r>
      <w:r w:rsidR="00354CC8">
        <w:rPr>
          <w:sz w:val="24"/>
          <w:lang w:val="en-US"/>
        </w:rPr>
        <w:t>are not significantly different from 1. The estimates also generally decline when controlling for health dependence.</w:t>
      </w:r>
    </w:p>
    <w:p w:rsidR="00354CC8" w:rsidRDefault="00354CC8" w:rsidP="00354CC8">
      <w:pPr>
        <w:spacing w:line="360" w:lineRule="auto"/>
        <w:ind w:left="360"/>
        <w:jc w:val="center"/>
        <w:rPr>
          <w:sz w:val="24"/>
          <w:lang w:val="en-US"/>
        </w:rPr>
      </w:pPr>
      <w:r>
        <w:rPr>
          <w:sz w:val="24"/>
          <w:lang w:val="en-US"/>
        </w:rPr>
        <w:t xml:space="preserve">[Table </w:t>
      </w:r>
      <w:r w:rsidR="00D91AE2">
        <w:rPr>
          <w:sz w:val="24"/>
          <w:lang w:val="en-US"/>
        </w:rPr>
        <w:t>2</w:t>
      </w:r>
      <w:r>
        <w:rPr>
          <w:sz w:val="24"/>
          <w:lang w:val="en-US"/>
        </w:rPr>
        <w:t xml:space="preserve"> about here]</w:t>
      </w:r>
    </w:p>
    <w:p w:rsidR="00354CC8" w:rsidRDefault="00354CC8" w:rsidP="00BA47D7">
      <w:pPr>
        <w:spacing w:line="360" w:lineRule="auto"/>
        <w:ind w:firstLine="360"/>
        <w:jc w:val="both"/>
        <w:rPr>
          <w:sz w:val="24"/>
          <w:lang w:val="en-US"/>
        </w:rPr>
      </w:pPr>
    </w:p>
    <w:p w:rsidR="00DE2587" w:rsidRDefault="00354CC8" w:rsidP="00BA47D7">
      <w:pPr>
        <w:spacing w:line="360" w:lineRule="auto"/>
        <w:ind w:firstLine="360"/>
        <w:jc w:val="both"/>
        <w:rPr>
          <w:sz w:val="24"/>
          <w:lang w:val="en-US"/>
        </w:rPr>
      </w:pPr>
      <w:r>
        <w:rPr>
          <w:sz w:val="24"/>
          <w:lang w:val="en-US"/>
        </w:rPr>
        <w:t>The</w:t>
      </w:r>
      <w:r w:rsidR="00DE2587">
        <w:rPr>
          <w:sz w:val="24"/>
          <w:lang w:val="en-US"/>
        </w:rPr>
        <w:t xml:space="preserve"> estimate of relative risk aversion </w:t>
      </w:r>
      <w:r>
        <w:rPr>
          <w:sz w:val="24"/>
          <w:lang w:val="en-US"/>
        </w:rPr>
        <w:t xml:space="preserve">using the Gallup data are lower than </w:t>
      </w:r>
      <w:r w:rsidR="00D95037">
        <w:rPr>
          <w:sz w:val="24"/>
          <w:lang w:val="en-US"/>
        </w:rPr>
        <w:t xml:space="preserve">those of Layard (2008) and lower than </w:t>
      </w:r>
      <w:r>
        <w:rPr>
          <w:sz w:val="24"/>
          <w:lang w:val="en-US"/>
        </w:rPr>
        <w:t>the estimates with the ESS and WVS, especially for high-</w:t>
      </w:r>
      <w:r>
        <w:rPr>
          <w:sz w:val="24"/>
          <w:lang w:val="en-US"/>
        </w:rPr>
        <w:lastRenderedPageBreak/>
        <w:t xml:space="preserve">income-OECD countries. The estimates using the ESS and WVS are, </w:t>
      </w:r>
      <w:r w:rsidR="00D95037">
        <w:rPr>
          <w:sz w:val="24"/>
          <w:lang w:val="en-US"/>
        </w:rPr>
        <w:t xml:space="preserve">in contrast, slightly larger than Layard’s </w:t>
      </w:r>
      <w:r w:rsidR="00DE2587">
        <w:rPr>
          <w:sz w:val="24"/>
          <w:lang w:val="en-US"/>
        </w:rPr>
        <w:t>reported range for the elasticity of the marginal utility with respect to income (1.19-1.34).</w:t>
      </w:r>
      <w:r w:rsidR="007F3C25">
        <w:rPr>
          <w:sz w:val="24"/>
          <w:lang w:val="en-US"/>
        </w:rPr>
        <w:t xml:space="preserve"> </w:t>
      </w:r>
      <w:r w:rsidR="007F3C25" w:rsidRPr="00BF4435">
        <w:rPr>
          <w:sz w:val="24"/>
          <w:szCs w:val="24"/>
          <w:lang w:val="en-US"/>
        </w:rPr>
        <w:t>A possible explanation for the disparities among our findings is the composition of countries in the different surveys that were used.</w:t>
      </w:r>
      <w:r w:rsidR="007F3C25">
        <w:rPr>
          <w:sz w:val="24"/>
          <w:lang w:val="en-US"/>
        </w:rPr>
        <w:t xml:space="preserve"> The</w:t>
      </w:r>
      <w:r w:rsidR="00D95037">
        <w:rPr>
          <w:sz w:val="24"/>
          <w:lang w:val="en-US"/>
        </w:rPr>
        <w:t xml:space="preserve"> lower</w:t>
      </w:r>
      <w:r w:rsidR="00DE2587">
        <w:rPr>
          <w:sz w:val="24"/>
          <w:lang w:val="en-US"/>
        </w:rPr>
        <w:t xml:space="preserve"> estimates </w:t>
      </w:r>
      <w:r w:rsidR="00D95037">
        <w:rPr>
          <w:sz w:val="24"/>
          <w:lang w:val="en-US"/>
        </w:rPr>
        <w:t xml:space="preserve">with Gallup data </w:t>
      </w:r>
      <w:r w:rsidR="00DE2587">
        <w:rPr>
          <w:sz w:val="24"/>
          <w:lang w:val="en-US"/>
        </w:rPr>
        <w:t>are below previous estimations of relative risk aversion that use inferences based on behavioral choices (</w:t>
      </w:r>
      <w:r w:rsidR="00DE2587" w:rsidRPr="001A3B45">
        <w:rPr>
          <w:sz w:val="24"/>
          <w:lang w:val="en-US"/>
        </w:rPr>
        <w:t>Friend and Blume 1975, Weber 1975</w:t>
      </w:r>
      <w:r w:rsidR="00DE2587">
        <w:rPr>
          <w:sz w:val="24"/>
          <w:lang w:val="en-US"/>
        </w:rPr>
        <w:t>,</w:t>
      </w:r>
      <w:r w:rsidR="00DE2587" w:rsidRPr="001A3B45">
        <w:rPr>
          <w:sz w:val="24"/>
          <w:lang w:val="en-US"/>
        </w:rPr>
        <w:t xml:space="preserve"> Szpiro</w:t>
      </w:r>
      <w:r w:rsidR="00DE2587">
        <w:rPr>
          <w:sz w:val="24"/>
          <w:lang w:val="en-US"/>
        </w:rPr>
        <w:t xml:space="preserve"> </w:t>
      </w:r>
      <w:r w:rsidR="00DE2587" w:rsidRPr="001A3B45">
        <w:rPr>
          <w:sz w:val="24"/>
          <w:lang w:val="en-US"/>
        </w:rPr>
        <w:t>1986</w:t>
      </w:r>
      <w:r w:rsidR="00DE2587">
        <w:rPr>
          <w:sz w:val="24"/>
          <w:lang w:val="en-US"/>
        </w:rPr>
        <w:t>,</w:t>
      </w:r>
      <w:r w:rsidR="00DE2587" w:rsidRPr="001A3B45">
        <w:rPr>
          <w:sz w:val="24"/>
          <w:lang w:val="en-US"/>
        </w:rPr>
        <w:t xml:space="preserve"> Mankiw 1985</w:t>
      </w:r>
      <w:r w:rsidR="00DE2587">
        <w:rPr>
          <w:sz w:val="24"/>
          <w:lang w:val="en-US"/>
        </w:rPr>
        <w:t xml:space="preserve">). </w:t>
      </w:r>
      <w:r w:rsidR="006F1D03">
        <w:rPr>
          <w:sz w:val="24"/>
          <w:lang w:val="en-US"/>
        </w:rPr>
        <w:t>However, although</w:t>
      </w:r>
      <w:r w:rsidR="006F1D03" w:rsidRPr="00BF4435">
        <w:rPr>
          <w:sz w:val="24"/>
          <w:szCs w:val="24"/>
          <w:lang w:val="en-US"/>
        </w:rPr>
        <w:t xml:space="preserve"> the reliability of the income data in the Gallup Wolrd Poll may play a role</w:t>
      </w:r>
      <w:r w:rsidR="006F1D03">
        <w:rPr>
          <w:sz w:val="24"/>
          <w:lang w:val="en-US"/>
        </w:rPr>
        <w:t xml:space="preserve"> in explaining the differences in the magnitude of the estimates</w:t>
      </w:r>
      <w:r w:rsidR="00DE2587">
        <w:rPr>
          <w:sz w:val="24"/>
          <w:lang w:val="en-US"/>
        </w:rPr>
        <w:t xml:space="preserve">, </w:t>
      </w:r>
      <w:r w:rsidR="006F1D03">
        <w:rPr>
          <w:sz w:val="24"/>
          <w:lang w:val="en-US"/>
        </w:rPr>
        <w:t>our</w:t>
      </w:r>
      <w:r w:rsidR="00DE2587">
        <w:rPr>
          <w:sz w:val="24"/>
          <w:lang w:val="en-US"/>
        </w:rPr>
        <w:t xml:space="preserve"> estimates are closer to the results of </w:t>
      </w:r>
      <w:r w:rsidR="00DE2587" w:rsidRPr="001A3B45">
        <w:rPr>
          <w:sz w:val="24"/>
          <w:lang w:val="en-US"/>
        </w:rPr>
        <w:t>Hansen and Singleton (1983)</w:t>
      </w:r>
      <w:r w:rsidR="003575E6">
        <w:rPr>
          <w:sz w:val="24"/>
          <w:lang w:val="en-US"/>
        </w:rPr>
        <w:t>,</w:t>
      </w:r>
      <w:r w:rsidR="003575E6" w:rsidRPr="003575E6">
        <w:rPr>
          <w:sz w:val="24"/>
          <w:lang w:val="en-US"/>
        </w:rPr>
        <w:t xml:space="preserve"> </w:t>
      </w:r>
      <w:r w:rsidR="003575E6">
        <w:rPr>
          <w:sz w:val="24"/>
          <w:lang w:val="en-US"/>
        </w:rPr>
        <w:t>Cox and Oaxaca (1996),</w:t>
      </w:r>
      <w:r w:rsidR="00DE2587">
        <w:rPr>
          <w:sz w:val="24"/>
          <w:lang w:val="en-US"/>
        </w:rPr>
        <w:t xml:space="preserve"> and </w:t>
      </w:r>
      <w:r w:rsidR="00DE2587" w:rsidRPr="001A3B45">
        <w:rPr>
          <w:sz w:val="24"/>
          <w:lang w:val="en-US"/>
        </w:rPr>
        <w:t>Bartunek and Chowdhury (1997)</w:t>
      </w:r>
      <w:r w:rsidR="00DE2587">
        <w:rPr>
          <w:sz w:val="24"/>
          <w:lang w:val="en-US"/>
        </w:rPr>
        <w:t xml:space="preserve">. </w:t>
      </w:r>
      <w:r w:rsidR="00D95037">
        <w:rPr>
          <w:sz w:val="24"/>
          <w:lang w:val="en-US"/>
        </w:rPr>
        <w:t xml:space="preserve">The </w:t>
      </w:r>
      <w:r w:rsidR="00DE2587">
        <w:rPr>
          <w:sz w:val="24"/>
          <w:lang w:val="en-US"/>
        </w:rPr>
        <w:t xml:space="preserve">results </w:t>
      </w:r>
      <w:r w:rsidR="00D95037">
        <w:rPr>
          <w:sz w:val="24"/>
          <w:lang w:val="en-US"/>
        </w:rPr>
        <w:t xml:space="preserve">with Gallup data </w:t>
      </w:r>
      <w:r w:rsidR="00DE2587">
        <w:rPr>
          <w:sz w:val="24"/>
          <w:lang w:val="en-US"/>
        </w:rPr>
        <w:t xml:space="preserve">are also in line with Gandelman and Porzecanski (2011) who also use Gallup data and find that the only way to reconcile happiness inequality with income inequality is with a relative risk aversion coefficient lower than one. </w:t>
      </w:r>
      <w:r w:rsidR="003575E6" w:rsidRPr="000C3D94">
        <w:rPr>
          <w:sz w:val="24"/>
          <w:lang w:val="en-US"/>
        </w:rPr>
        <w:t xml:space="preserve">Most studies using experimental data </w:t>
      </w:r>
      <w:r w:rsidR="003575E6">
        <w:rPr>
          <w:sz w:val="24"/>
          <w:lang w:val="en-US"/>
        </w:rPr>
        <w:t>also find</w:t>
      </w:r>
      <w:r w:rsidR="003575E6" w:rsidRPr="000C3D94">
        <w:rPr>
          <w:sz w:val="24"/>
          <w:lang w:val="en-US"/>
        </w:rPr>
        <w:t xml:space="preserve"> low levels of risk aversion.</w:t>
      </w:r>
      <w:r w:rsidR="003575E6">
        <w:rPr>
          <w:rStyle w:val="Refdenotaalpie"/>
          <w:sz w:val="24"/>
          <w:lang w:val="en-US"/>
        </w:rPr>
        <w:footnoteReference w:id="6"/>
      </w:r>
    </w:p>
    <w:p w:rsidR="00104CEF" w:rsidRDefault="00DE2587" w:rsidP="008E737A">
      <w:pPr>
        <w:spacing w:line="360" w:lineRule="auto"/>
        <w:ind w:firstLine="708"/>
        <w:jc w:val="both"/>
        <w:rPr>
          <w:sz w:val="24"/>
          <w:lang w:val="en-US"/>
        </w:rPr>
      </w:pPr>
      <w:r>
        <w:rPr>
          <w:sz w:val="24"/>
          <w:lang w:val="en-US"/>
        </w:rPr>
        <w:t>Table</w:t>
      </w:r>
      <w:r w:rsidR="006F1D03">
        <w:rPr>
          <w:sz w:val="24"/>
          <w:lang w:val="en-US"/>
        </w:rPr>
        <w:t>s</w:t>
      </w:r>
      <w:r>
        <w:rPr>
          <w:sz w:val="24"/>
          <w:lang w:val="en-US"/>
        </w:rPr>
        <w:t xml:space="preserve"> </w:t>
      </w:r>
      <w:r w:rsidR="00D91AE2">
        <w:rPr>
          <w:sz w:val="24"/>
          <w:lang w:val="en-US"/>
        </w:rPr>
        <w:t>3</w:t>
      </w:r>
      <w:r w:rsidR="00104CEF">
        <w:rPr>
          <w:sz w:val="24"/>
          <w:lang w:val="en-US"/>
        </w:rPr>
        <w:t xml:space="preserve"> through </w:t>
      </w:r>
      <w:r w:rsidR="00D91AE2">
        <w:rPr>
          <w:sz w:val="24"/>
          <w:lang w:val="en-US"/>
        </w:rPr>
        <w:t>5</w:t>
      </w:r>
      <w:r>
        <w:rPr>
          <w:sz w:val="24"/>
          <w:lang w:val="en-US"/>
        </w:rPr>
        <w:t xml:space="preserve"> report the estimated coefficients of the individual controls and the cut-off levels in the ordered logit model </w:t>
      </w:r>
      <w:r w:rsidR="00104CEF">
        <w:rPr>
          <w:sz w:val="24"/>
          <w:lang w:val="en-US"/>
        </w:rPr>
        <w:t xml:space="preserve">controlling for </w:t>
      </w:r>
      <w:r>
        <w:rPr>
          <w:sz w:val="24"/>
          <w:lang w:val="en-US"/>
        </w:rPr>
        <w:t xml:space="preserve">health dependence </w:t>
      </w:r>
      <w:r w:rsidR="00104CEF">
        <w:rPr>
          <w:sz w:val="24"/>
          <w:lang w:val="en-US"/>
        </w:rPr>
        <w:t xml:space="preserve">in the utility function. The reported estimations </w:t>
      </w:r>
      <w:r>
        <w:rPr>
          <w:sz w:val="24"/>
          <w:lang w:val="en-US"/>
        </w:rPr>
        <w:t>correspond to the maximum likelihood estimator of the coefficient</w:t>
      </w:r>
      <w:r w:rsidR="00104CEF">
        <w:rPr>
          <w:sz w:val="24"/>
          <w:lang w:val="en-US"/>
        </w:rPr>
        <w:t>s</w:t>
      </w:r>
      <w:r>
        <w:rPr>
          <w:sz w:val="24"/>
          <w:lang w:val="en-US"/>
        </w:rPr>
        <w:t xml:space="preserve"> of relative risk aversion</w:t>
      </w:r>
      <w:r w:rsidR="00104CEF">
        <w:rPr>
          <w:sz w:val="24"/>
          <w:lang w:val="en-US"/>
        </w:rPr>
        <w:t xml:space="preserve"> reported in tables </w:t>
      </w:r>
      <w:r w:rsidR="00D91AE2">
        <w:rPr>
          <w:sz w:val="24"/>
          <w:lang w:val="en-US"/>
        </w:rPr>
        <w:t>1 and 2</w:t>
      </w:r>
      <w:r>
        <w:rPr>
          <w:sz w:val="24"/>
          <w:lang w:val="en-US"/>
        </w:rPr>
        <w:t>. The coefficients reported are odds ratios to facilitate the</w:t>
      </w:r>
      <w:r w:rsidR="00104CEF">
        <w:rPr>
          <w:sz w:val="24"/>
          <w:lang w:val="en-US"/>
        </w:rPr>
        <w:t>ir</w:t>
      </w:r>
      <w:r>
        <w:rPr>
          <w:sz w:val="24"/>
          <w:lang w:val="en-US"/>
        </w:rPr>
        <w:t xml:space="preserve"> interpretation, as most individual controls are categorical variables. Hence, an odds ratio larger than 1 represents a positive effect on the likelihood of reporting higher happiness levels, while an odds ratio smaller than 1 represents a negative effect. Most individual regressors have the expected direction of effect</w:t>
      </w:r>
      <w:r w:rsidR="00104CEF">
        <w:rPr>
          <w:sz w:val="24"/>
          <w:lang w:val="en-US"/>
        </w:rPr>
        <w:t xml:space="preserve"> across all data sets</w:t>
      </w:r>
      <w:r>
        <w:rPr>
          <w:sz w:val="24"/>
          <w:lang w:val="en-US"/>
        </w:rPr>
        <w:t xml:space="preserve">. </w:t>
      </w:r>
    </w:p>
    <w:p w:rsidR="0097439B" w:rsidRDefault="00104CEF" w:rsidP="00104CEF">
      <w:pPr>
        <w:spacing w:line="360" w:lineRule="auto"/>
        <w:ind w:firstLine="708"/>
        <w:jc w:val="both"/>
        <w:rPr>
          <w:sz w:val="24"/>
          <w:lang w:val="en-US"/>
        </w:rPr>
      </w:pPr>
      <w:r>
        <w:rPr>
          <w:sz w:val="24"/>
          <w:lang w:val="en-US"/>
        </w:rPr>
        <w:t xml:space="preserve">In Table </w:t>
      </w:r>
      <w:r w:rsidR="00D91AE2">
        <w:rPr>
          <w:sz w:val="24"/>
          <w:lang w:val="en-US"/>
        </w:rPr>
        <w:t>3</w:t>
      </w:r>
      <w:r>
        <w:rPr>
          <w:sz w:val="24"/>
          <w:lang w:val="en-US"/>
        </w:rPr>
        <w:t>, corresponding to the estimates using the Gallup World Poll, w</w:t>
      </w:r>
      <w:r w:rsidR="00DE2587">
        <w:rPr>
          <w:sz w:val="24"/>
          <w:lang w:val="en-US"/>
        </w:rPr>
        <w:t xml:space="preserve">omen are about </w:t>
      </w:r>
      <w:r>
        <w:rPr>
          <w:sz w:val="24"/>
          <w:lang w:val="en-US"/>
        </w:rPr>
        <w:t>20</w:t>
      </w:r>
      <w:r w:rsidR="00DE2587">
        <w:rPr>
          <w:sz w:val="24"/>
          <w:lang w:val="en-US"/>
        </w:rPr>
        <w:t>% more likely than men to report higher levels of life satisfaction</w:t>
      </w:r>
      <w:r>
        <w:rPr>
          <w:sz w:val="24"/>
          <w:lang w:val="en-US"/>
        </w:rPr>
        <w:t xml:space="preserve"> (Column All countries)</w:t>
      </w:r>
      <w:r w:rsidR="00DE2587">
        <w:rPr>
          <w:sz w:val="24"/>
          <w:lang w:val="en-US"/>
        </w:rPr>
        <w:t xml:space="preserve">. Similarly, happiness responds positively to marriage: married individuals are </w:t>
      </w:r>
      <w:r>
        <w:rPr>
          <w:sz w:val="24"/>
          <w:lang w:val="en-US"/>
        </w:rPr>
        <w:t>20</w:t>
      </w:r>
      <w:r w:rsidR="00DE2587">
        <w:rPr>
          <w:sz w:val="24"/>
          <w:lang w:val="en-US"/>
        </w:rPr>
        <w:t>% to 40% more likely to report higher levels of happiness than non-married individuals (14</w:t>
      </w:r>
      <w:r>
        <w:rPr>
          <w:sz w:val="24"/>
          <w:lang w:val="en-US"/>
        </w:rPr>
        <w:t>7</w:t>
      </w:r>
      <w:r w:rsidR="00DE2587">
        <w:rPr>
          <w:sz w:val="24"/>
          <w:lang w:val="en-US"/>
        </w:rPr>
        <w:t>% more likely in the United States). Age has a negative effect on the likelihood of higher happiness reports, while its square has a positive effect. Residence in an urban setting has a statistically negative</w:t>
      </w:r>
      <w:r>
        <w:rPr>
          <w:sz w:val="24"/>
          <w:lang w:val="en-US"/>
        </w:rPr>
        <w:t xml:space="preserve"> effect for the United States,</w:t>
      </w:r>
      <w:r w:rsidR="00DE2587">
        <w:rPr>
          <w:sz w:val="24"/>
          <w:lang w:val="en-US"/>
        </w:rPr>
        <w:t xml:space="preserve"> high-income OECD countries</w:t>
      </w:r>
      <w:r>
        <w:rPr>
          <w:sz w:val="24"/>
          <w:lang w:val="en-US"/>
        </w:rPr>
        <w:t>, and low income countries</w:t>
      </w:r>
      <w:r w:rsidR="00DE2587">
        <w:rPr>
          <w:sz w:val="24"/>
          <w:lang w:val="en-US"/>
        </w:rPr>
        <w:t xml:space="preserve"> and a positive effect in other cases. Individuals in the United States who live in urban areas, for example, are 3</w:t>
      </w:r>
      <w:r>
        <w:rPr>
          <w:sz w:val="24"/>
          <w:lang w:val="en-US"/>
        </w:rPr>
        <w:t>0</w:t>
      </w:r>
      <w:r w:rsidR="00DE2587">
        <w:rPr>
          <w:sz w:val="24"/>
          <w:lang w:val="en-US"/>
        </w:rPr>
        <w:t xml:space="preserve">% less </w:t>
      </w:r>
      <w:r w:rsidR="00DE2587">
        <w:rPr>
          <w:sz w:val="24"/>
          <w:lang w:val="en-US"/>
        </w:rPr>
        <w:lastRenderedPageBreak/>
        <w:t>likely to report higher happiness levels than individuals in rural settings. The coefficient on the urban indicator is not statistically significant in the case with all countries</w:t>
      </w:r>
      <w:r>
        <w:rPr>
          <w:sz w:val="24"/>
          <w:lang w:val="en-US"/>
        </w:rPr>
        <w:t xml:space="preserve"> or with low income countries</w:t>
      </w:r>
      <w:r w:rsidR="00DE2587">
        <w:rPr>
          <w:sz w:val="24"/>
          <w:lang w:val="en-US"/>
        </w:rPr>
        <w:t>. The effect of employment status is also positive whenever it is statistically significant, with employed individuals being 1</w:t>
      </w:r>
      <w:r>
        <w:rPr>
          <w:sz w:val="24"/>
          <w:lang w:val="en-US"/>
        </w:rPr>
        <w:t>5</w:t>
      </w:r>
      <w:r w:rsidR="00DE2587">
        <w:rPr>
          <w:sz w:val="24"/>
          <w:lang w:val="en-US"/>
        </w:rPr>
        <w:t xml:space="preserve">% to </w:t>
      </w:r>
      <w:r>
        <w:rPr>
          <w:sz w:val="24"/>
          <w:lang w:val="en-US"/>
        </w:rPr>
        <w:t>2</w:t>
      </w:r>
      <w:r w:rsidR="00DE2587">
        <w:rPr>
          <w:sz w:val="24"/>
          <w:lang w:val="en-US"/>
        </w:rPr>
        <w:t>0% more likely to report higher levels of happiness than unemployed individuals.</w:t>
      </w:r>
      <w:r>
        <w:rPr>
          <w:sz w:val="24"/>
          <w:lang w:val="en-US"/>
        </w:rPr>
        <w:t xml:space="preserve"> In terms of health dependence,</w:t>
      </w:r>
      <w:r w:rsidR="00DE2587">
        <w:rPr>
          <w:sz w:val="24"/>
          <w:lang w:val="en-US"/>
        </w:rPr>
        <w:t xml:space="preserve"> </w:t>
      </w:r>
      <w:r>
        <w:rPr>
          <w:sz w:val="24"/>
          <w:lang w:val="en-US"/>
        </w:rPr>
        <w:t>i</w:t>
      </w:r>
      <w:r w:rsidR="00DE2587">
        <w:rPr>
          <w:sz w:val="24"/>
          <w:lang w:val="en-US"/>
        </w:rPr>
        <w:t>ndividuals reporting health problems are less likely to report higher levels of happiness, and the effect is statistically significant for most specifications. The odds ratio varies from 0.</w:t>
      </w:r>
      <w:r>
        <w:rPr>
          <w:sz w:val="24"/>
          <w:lang w:val="en-US"/>
        </w:rPr>
        <w:t>488</w:t>
      </w:r>
      <w:r w:rsidR="00DE2587">
        <w:rPr>
          <w:sz w:val="24"/>
          <w:lang w:val="en-US"/>
        </w:rPr>
        <w:t xml:space="preserve"> to 0.</w:t>
      </w:r>
      <w:r>
        <w:rPr>
          <w:sz w:val="24"/>
          <w:lang w:val="en-US"/>
        </w:rPr>
        <w:t>640</w:t>
      </w:r>
      <w:r w:rsidR="00DE2587">
        <w:rPr>
          <w:sz w:val="24"/>
          <w:lang w:val="en-US"/>
        </w:rPr>
        <w:t xml:space="preserve">. The interaction of health status with the utility of income, </w:t>
      </w:r>
      <w:r w:rsidR="00DE2587" w:rsidRPr="0097439B">
        <w:rPr>
          <w:i/>
          <w:sz w:val="24"/>
          <w:lang w:val="en-US"/>
        </w:rPr>
        <w:t>u(y)</w:t>
      </w:r>
      <w:r w:rsidR="00DE2587">
        <w:rPr>
          <w:sz w:val="24"/>
          <w:lang w:val="en-US"/>
        </w:rPr>
        <w:t xml:space="preserve">, has a positive effect (odds ratio greater than 1) </w:t>
      </w:r>
      <w:r>
        <w:rPr>
          <w:sz w:val="24"/>
          <w:lang w:val="en-US"/>
        </w:rPr>
        <w:t xml:space="preserve">and is statistically significant </w:t>
      </w:r>
      <w:r w:rsidR="00DE2587">
        <w:rPr>
          <w:sz w:val="24"/>
          <w:lang w:val="en-US"/>
        </w:rPr>
        <w:t>in the specifications for all countries</w:t>
      </w:r>
      <w:r>
        <w:rPr>
          <w:sz w:val="24"/>
          <w:lang w:val="en-US"/>
        </w:rPr>
        <w:t xml:space="preserve"> (1.14)</w:t>
      </w:r>
      <w:r w:rsidR="00DE2587">
        <w:rPr>
          <w:sz w:val="24"/>
          <w:lang w:val="en-US"/>
        </w:rPr>
        <w:t>, high income OECD countries</w:t>
      </w:r>
      <w:r>
        <w:rPr>
          <w:sz w:val="24"/>
          <w:lang w:val="en-US"/>
        </w:rPr>
        <w:t xml:space="preserve"> (1.27)</w:t>
      </w:r>
      <w:r w:rsidR="00DE2587">
        <w:rPr>
          <w:sz w:val="24"/>
          <w:lang w:val="en-US"/>
        </w:rPr>
        <w:t xml:space="preserve">, </w:t>
      </w:r>
      <w:r>
        <w:rPr>
          <w:sz w:val="24"/>
          <w:lang w:val="en-US"/>
        </w:rPr>
        <w:t xml:space="preserve">low income countries (1.16) </w:t>
      </w:r>
      <w:r w:rsidR="00DE2587">
        <w:rPr>
          <w:sz w:val="24"/>
          <w:lang w:val="en-US"/>
        </w:rPr>
        <w:t>and upper-middle income countries</w:t>
      </w:r>
      <w:r>
        <w:rPr>
          <w:sz w:val="24"/>
          <w:lang w:val="en-US"/>
        </w:rPr>
        <w:t xml:space="preserve"> (1.15)</w:t>
      </w:r>
      <w:r w:rsidR="00DE2587">
        <w:rPr>
          <w:sz w:val="24"/>
          <w:lang w:val="en-US"/>
        </w:rPr>
        <w:t>, and suggests that the marginal utility of income increases for sick individuals. In the overall estimate, for example, an odds ratio of 1.</w:t>
      </w:r>
      <w:r>
        <w:rPr>
          <w:sz w:val="24"/>
          <w:lang w:val="en-US"/>
        </w:rPr>
        <w:t>14</w:t>
      </w:r>
      <w:r w:rsidR="00DE2587">
        <w:rPr>
          <w:sz w:val="24"/>
          <w:lang w:val="en-US"/>
        </w:rPr>
        <w:t xml:space="preserve"> indicates that the effect of income on reported happiness is about </w:t>
      </w:r>
      <w:r w:rsidR="007F5EB3">
        <w:rPr>
          <w:sz w:val="24"/>
          <w:lang w:val="en-US"/>
        </w:rPr>
        <w:t>14.0</w:t>
      </w:r>
      <w:r w:rsidR="00DE2587">
        <w:rPr>
          <w:sz w:val="24"/>
          <w:lang w:val="en-US"/>
        </w:rPr>
        <w:t>% higher for individuals who report dissatisfaction with personal health.</w:t>
      </w:r>
      <w:r w:rsidR="00DE2587">
        <w:rPr>
          <w:rStyle w:val="Refdenotaalpie"/>
          <w:sz w:val="24"/>
          <w:lang w:val="en-US"/>
        </w:rPr>
        <w:footnoteReference w:id="7"/>
      </w:r>
      <w:r w:rsidR="00DE2587">
        <w:rPr>
          <w:sz w:val="24"/>
          <w:lang w:val="en-US"/>
        </w:rPr>
        <w:t xml:space="preserve"> </w:t>
      </w:r>
      <w:r w:rsidR="00BA47D7">
        <w:rPr>
          <w:sz w:val="24"/>
          <w:lang w:val="en-US"/>
        </w:rPr>
        <w:t>These results are in contrast with those of Finkelstein et al. (2008)</w:t>
      </w:r>
      <w:r w:rsidR="00A63938">
        <w:rPr>
          <w:sz w:val="24"/>
          <w:lang w:val="en-US"/>
        </w:rPr>
        <w:t>.</w:t>
      </w:r>
      <w:r w:rsidR="00BA47D7">
        <w:rPr>
          <w:sz w:val="24"/>
          <w:lang w:val="en-US"/>
        </w:rPr>
        <w:t xml:space="preserve"> </w:t>
      </w:r>
      <w:r w:rsidR="00A63938">
        <w:rPr>
          <w:sz w:val="24"/>
          <w:lang w:val="en-US"/>
        </w:rPr>
        <w:t>O</w:t>
      </w:r>
      <w:r w:rsidR="00BA47D7">
        <w:rPr>
          <w:sz w:val="24"/>
          <w:lang w:val="en-US"/>
        </w:rPr>
        <w:t>ur finding</w:t>
      </w:r>
      <w:r w:rsidR="00A63938">
        <w:rPr>
          <w:sz w:val="24"/>
          <w:lang w:val="en-US"/>
        </w:rPr>
        <w:t>s</w:t>
      </w:r>
      <w:r w:rsidR="00BA47D7">
        <w:rPr>
          <w:sz w:val="24"/>
          <w:lang w:val="en-US"/>
        </w:rPr>
        <w:t xml:space="preserve"> indicates that controlling for health dependence would suggest that the optimal amount of health insurance or the optimal amount of life-cycle savings </w:t>
      </w:r>
      <w:r w:rsidR="00A63938">
        <w:rPr>
          <w:sz w:val="24"/>
          <w:lang w:val="en-US"/>
        </w:rPr>
        <w:t>is</w:t>
      </w:r>
      <w:r w:rsidR="00BA47D7">
        <w:rPr>
          <w:sz w:val="24"/>
          <w:lang w:val="en-US"/>
        </w:rPr>
        <w:t xml:space="preserve"> </w:t>
      </w:r>
      <w:r w:rsidR="00BA47D7" w:rsidRPr="00BA47D7">
        <w:rPr>
          <w:i/>
          <w:sz w:val="24"/>
          <w:lang w:val="en-US"/>
        </w:rPr>
        <w:t>higher</w:t>
      </w:r>
      <w:r w:rsidR="00BA47D7">
        <w:rPr>
          <w:sz w:val="24"/>
          <w:lang w:val="en-US"/>
        </w:rPr>
        <w:t xml:space="preserve"> than when not controlling for health dependence.</w:t>
      </w:r>
    </w:p>
    <w:p w:rsidR="00601458" w:rsidRDefault="00601458" w:rsidP="00601458">
      <w:pPr>
        <w:spacing w:line="360" w:lineRule="auto"/>
        <w:ind w:left="360"/>
        <w:jc w:val="center"/>
        <w:rPr>
          <w:sz w:val="24"/>
          <w:lang w:val="en-US"/>
        </w:rPr>
      </w:pPr>
      <w:r>
        <w:rPr>
          <w:sz w:val="24"/>
          <w:lang w:val="en-US"/>
        </w:rPr>
        <w:t xml:space="preserve">[Table </w:t>
      </w:r>
      <w:r w:rsidR="00D91AE2">
        <w:rPr>
          <w:sz w:val="24"/>
          <w:lang w:val="en-US"/>
        </w:rPr>
        <w:t>3</w:t>
      </w:r>
      <w:r>
        <w:rPr>
          <w:sz w:val="24"/>
          <w:lang w:val="en-US"/>
        </w:rPr>
        <w:t xml:space="preserve"> about here]</w:t>
      </w:r>
    </w:p>
    <w:p w:rsidR="00601458" w:rsidRDefault="00601458" w:rsidP="00601458">
      <w:pPr>
        <w:spacing w:line="360" w:lineRule="auto"/>
        <w:ind w:firstLine="360"/>
        <w:jc w:val="both"/>
        <w:rPr>
          <w:sz w:val="24"/>
          <w:lang w:val="en-US"/>
        </w:rPr>
      </w:pPr>
      <w:r>
        <w:rPr>
          <w:sz w:val="24"/>
          <w:lang w:val="en-US"/>
        </w:rPr>
        <w:t xml:space="preserve">Table </w:t>
      </w:r>
      <w:r w:rsidR="00D91AE2">
        <w:rPr>
          <w:sz w:val="24"/>
          <w:lang w:val="en-US"/>
        </w:rPr>
        <w:t>4</w:t>
      </w:r>
      <w:r>
        <w:rPr>
          <w:sz w:val="24"/>
          <w:lang w:val="en-US"/>
        </w:rPr>
        <w:t xml:space="preserve"> presents </w:t>
      </w:r>
      <w:r w:rsidR="007F5EB3">
        <w:rPr>
          <w:sz w:val="24"/>
          <w:lang w:val="en-US"/>
        </w:rPr>
        <w:t>similar coefficient estimates for the European Social Survey. All the individual controls are statistically significant for the estimation with all countries and for high-income-OCED countries, but some coefficients are not statistically significant in the case of upper-middle-income countries. Women and married individuals are more likely to report higher happiness levels in all three specifications (although the female coefficient is not statistically significant in the case of upper-middle-income countries). Residence in an urban setting and employment status also have a positive effect on reported happiness. In contrast, the direct effect of age is negative (but age square has a positive effect). Similarly, the variable indicating health problems (</w:t>
      </w:r>
      <w:r w:rsidR="007F5EB3" w:rsidRPr="003A6EB4">
        <w:rPr>
          <w:i/>
          <w:sz w:val="24"/>
          <w:lang w:val="en-US"/>
        </w:rPr>
        <w:t>Sick</w:t>
      </w:r>
      <w:r w:rsidR="007F5EB3">
        <w:rPr>
          <w:sz w:val="24"/>
          <w:lang w:val="en-US"/>
        </w:rPr>
        <w:t>) has a negative effect. Sick individuals are 50-55% less likely to report high</w:t>
      </w:r>
      <w:r w:rsidR="000D05E3">
        <w:rPr>
          <w:sz w:val="24"/>
          <w:lang w:val="en-US"/>
        </w:rPr>
        <w:t>er</w:t>
      </w:r>
      <w:r w:rsidR="007F5EB3">
        <w:rPr>
          <w:sz w:val="24"/>
          <w:lang w:val="en-US"/>
        </w:rPr>
        <w:t xml:space="preserve"> levels of happiness</w:t>
      </w:r>
      <w:r w:rsidR="003A6EB4">
        <w:rPr>
          <w:sz w:val="24"/>
          <w:lang w:val="en-US"/>
        </w:rPr>
        <w:t xml:space="preserve"> (in the case of odds ratio smaller than one, the effect is computed subtracting the coefficient from 1)</w:t>
      </w:r>
      <w:r w:rsidR="007F5EB3">
        <w:rPr>
          <w:sz w:val="24"/>
          <w:lang w:val="en-US"/>
        </w:rPr>
        <w:t xml:space="preserve">. </w:t>
      </w:r>
      <w:r w:rsidR="000D05E3">
        <w:rPr>
          <w:sz w:val="24"/>
          <w:lang w:val="en-US"/>
        </w:rPr>
        <w:t xml:space="preserve">The interaction of the </w:t>
      </w:r>
      <w:r w:rsidR="000D05E3" w:rsidRPr="000D05E3">
        <w:rPr>
          <w:i/>
          <w:sz w:val="24"/>
          <w:lang w:val="en-US"/>
        </w:rPr>
        <w:t>Sick</w:t>
      </w:r>
      <w:r w:rsidR="000D05E3">
        <w:rPr>
          <w:sz w:val="24"/>
          <w:lang w:val="en-US"/>
        </w:rPr>
        <w:t xml:space="preserve"> dummy with </w:t>
      </w:r>
      <w:r w:rsidR="000D05E3">
        <w:rPr>
          <w:sz w:val="24"/>
          <w:lang w:val="en-US"/>
        </w:rPr>
        <w:lastRenderedPageBreak/>
        <w:t xml:space="preserve">the utility of income, </w:t>
      </w:r>
      <w:r w:rsidR="000D05E3" w:rsidRPr="0097439B">
        <w:rPr>
          <w:i/>
          <w:sz w:val="24"/>
          <w:lang w:val="en-US"/>
        </w:rPr>
        <w:t>u(y)</w:t>
      </w:r>
      <w:r w:rsidR="000D05E3">
        <w:rPr>
          <w:sz w:val="24"/>
          <w:lang w:val="en-US"/>
        </w:rPr>
        <w:t>, has a positive effect also has a positive effect (odds ration greater than 1) when it is statistically significant, suggesting that individuals dissatisfied with personal health have a effect from income on reported happiness that is about 9% higher than individuals who are satisfied with their personal health.</w:t>
      </w:r>
    </w:p>
    <w:p w:rsidR="000D05E3" w:rsidRDefault="000D05E3" w:rsidP="000D05E3">
      <w:pPr>
        <w:spacing w:line="360" w:lineRule="auto"/>
        <w:ind w:left="360"/>
        <w:jc w:val="center"/>
        <w:rPr>
          <w:sz w:val="24"/>
          <w:lang w:val="en-US"/>
        </w:rPr>
      </w:pPr>
      <w:r>
        <w:rPr>
          <w:sz w:val="24"/>
          <w:lang w:val="en-US"/>
        </w:rPr>
        <w:t xml:space="preserve">[Table </w:t>
      </w:r>
      <w:r w:rsidR="00D91AE2">
        <w:rPr>
          <w:sz w:val="24"/>
          <w:lang w:val="en-US"/>
        </w:rPr>
        <w:t>4</w:t>
      </w:r>
      <w:r>
        <w:rPr>
          <w:sz w:val="24"/>
          <w:lang w:val="en-US"/>
        </w:rPr>
        <w:t xml:space="preserve"> about here]</w:t>
      </w:r>
    </w:p>
    <w:p w:rsidR="00000000" w:rsidRDefault="000D05E3" w:rsidP="006B36AE">
      <w:pPr>
        <w:spacing w:line="360" w:lineRule="auto"/>
        <w:ind w:firstLine="708"/>
        <w:jc w:val="both"/>
        <w:rPr>
          <w:sz w:val="24"/>
          <w:lang w:val="en-US"/>
        </w:rPr>
      </w:pPr>
      <w:r>
        <w:rPr>
          <w:sz w:val="24"/>
          <w:lang w:val="en-US"/>
        </w:rPr>
        <w:t xml:space="preserve">Finally, table </w:t>
      </w:r>
      <w:r w:rsidR="00D91AE2">
        <w:rPr>
          <w:sz w:val="24"/>
          <w:lang w:val="en-US"/>
        </w:rPr>
        <w:t>5</w:t>
      </w:r>
      <w:r>
        <w:rPr>
          <w:sz w:val="24"/>
          <w:lang w:val="en-US"/>
        </w:rPr>
        <w:t xml:space="preserve"> presents the estimations using the World Value Survey. Again, the magnitude and direction of the effects of the various controls is similar to those reported in tables 7 and 8. Similarly, the results regarding health dependence are robust. In the case of the overall estimate, for example, the </w:t>
      </w:r>
      <w:r w:rsidRPr="000D05E3">
        <w:rPr>
          <w:i/>
          <w:sz w:val="24"/>
          <w:lang w:val="en-US"/>
        </w:rPr>
        <w:t>Sick</w:t>
      </w:r>
      <w:r>
        <w:rPr>
          <w:sz w:val="24"/>
          <w:lang w:val="en-US"/>
        </w:rPr>
        <w:t xml:space="preserve"> dummy has a negative effect and suggests that individuals dissatisfied with personal health are 41-67% less likely to report higher levels of happiness than healthier individuals</w:t>
      </w:r>
      <w:r w:rsidR="003A6EB4">
        <w:rPr>
          <w:sz w:val="24"/>
          <w:lang w:val="en-US"/>
        </w:rPr>
        <w:t>. The interaction of the health status indicator with the utility of income is also positive and suggests that individuals dissatisfied with personal health have larger effect from income on reported happiness by about 7% in the all counties estimation, and much higher for high-income countries.</w:t>
      </w:r>
    </w:p>
    <w:p w:rsidR="00D91AE2" w:rsidRDefault="00D91AE2" w:rsidP="00D91AE2">
      <w:pPr>
        <w:spacing w:line="360" w:lineRule="auto"/>
        <w:ind w:left="360"/>
        <w:jc w:val="center"/>
        <w:rPr>
          <w:sz w:val="24"/>
          <w:lang w:val="en-US"/>
        </w:rPr>
      </w:pPr>
      <w:r>
        <w:rPr>
          <w:sz w:val="24"/>
          <w:lang w:val="en-US"/>
        </w:rPr>
        <w:t>[Table 5 about here]</w:t>
      </w:r>
    </w:p>
    <w:p w:rsidR="003A6EB4" w:rsidRDefault="003A6EB4" w:rsidP="000D05E3">
      <w:pPr>
        <w:spacing w:line="360" w:lineRule="auto"/>
        <w:rPr>
          <w:sz w:val="24"/>
          <w:lang w:val="en-US"/>
        </w:rPr>
      </w:pPr>
    </w:p>
    <w:p w:rsidR="00F86A4C" w:rsidRDefault="00F86A4C" w:rsidP="00FB349C">
      <w:pPr>
        <w:numPr>
          <w:ilvl w:val="0"/>
          <w:numId w:val="8"/>
        </w:numPr>
        <w:spacing w:line="360" w:lineRule="auto"/>
        <w:jc w:val="both"/>
        <w:rPr>
          <w:b/>
          <w:sz w:val="24"/>
          <w:lang w:val="en-US"/>
        </w:rPr>
      </w:pPr>
      <w:r w:rsidRPr="009678C3">
        <w:rPr>
          <w:b/>
          <w:sz w:val="24"/>
          <w:lang w:val="en-US"/>
        </w:rPr>
        <w:t>Conclusion</w:t>
      </w:r>
    </w:p>
    <w:p w:rsidR="0097439B" w:rsidRDefault="0097439B" w:rsidP="0097439B">
      <w:pPr>
        <w:spacing w:line="360" w:lineRule="auto"/>
        <w:ind w:left="360"/>
        <w:jc w:val="both"/>
        <w:rPr>
          <w:b/>
          <w:sz w:val="24"/>
          <w:lang w:val="en-US"/>
        </w:rPr>
      </w:pPr>
    </w:p>
    <w:p w:rsidR="0097439B" w:rsidRDefault="0051132F" w:rsidP="0097439B">
      <w:pPr>
        <w:spacing w:line="360" w:lineRule="auto"/>
        <w:ind w:firstLine="360"/>
        <w:jc w:val="both"/>
        <w:rPr>
          <w:sz w:val="24"/>
          <w:lang w:val="en-US"/>
        </w:rPr>
      </w:pPr>
      <w:r>
        <w:rPr>
          <w:sz w:val="24"/>
          <w:lang w:val="en-US"/>
        </w:rPr>
        <w:t xml:space="preserve">A significant volume of literature on the implications of behavioral choices for </w:t>
      </w:r>
      <w:r w:rsidR="00A63938">
        <w:rPr>
          <w:sz w:val="24"/>
          <w:lang w:val="en-US"/>
        </w:rPr>
        <w:t xml:space="preserve">attitudes toward </w:t>
      </w:r>
      <w:r>
        <w:rPr>
          <w:sz w:val="24"/>
          <w:lang w:val="en-US"/>
        </w:rPr>
        <w:t>risk yields varying estimates</w:t>
      </w:r>
      <w:r w:rsidR="00A63938">
        <w:rPr>
          <w:sz w:val="24"/>
          <w:lang w:val="en-US"/>
        </w:rPr>
        <w:t xml:space="preserve"> of the coefficient of relative risk aversion</w:t>
      </w:r>
      <w:r>
        <w:rPr>
          <w:sz w:val="24"/>
          <w:lang w:val="en-US"/>
        </w:rPr>
        <w:t xml:space="preserve">, ranging </w:t>
      </w:r>
      <w:r w:rsidR="00DD1050">
        <w:rPr>
          <w:sz w:val="24"/>
          <w:lang w:val="en-US"/>
        </w:rPr>
        <w:t xml:space="preserve">from </w:t>
      </w:r>
      <w:r>
        <w:rPr>
          <w:sz w:val="24"/>
          <w:lang w:val="en-US"/>
        </w:rPr>
        <w:t xml:space="preserve">nearly linear utility on income (a relative risk aversion coefficient of zero) to </w:t>
      </w:r>
      <w:r w:rsidR="005D461D">
        <w:rPr>
          <w:sz w:val="24"/>
          <w:lang w:val="en-US"/>
        </w:rPr>
        <w:t xml:space="preserve">estimates implying </w:t>
      </w:r>
      <w:r>
        <w:rPr>
          <w:sz w:val="24"/>
          <w:lang w:val="en-US"/>
        </w:rPr>
        <w:t>vastly more concavity than log utility (corresponding to a relative risk aversion coefficient of one).</w:t>
      </w:r>
    </w:p>
    <w:p w:rsidR="0097439B" w:rsidRDefault="0051132F" w:rsidP="0097439B">
      <w:pPr>
        <w:spacing w:line="360" w:lineRule="auto"/>
        <w:ind w:firstLine="360"/>
        <w:jc w:val="both"/>
        <w:rPr>
          <w:sz w:val="24"/>
          <w:lang w:val="en-US"/>
        </w:rPr>
      </w:pPr>
      <w:r>
        <w:rPr>
          <w:sz w:val="24"/>
          <w:lang w:val="en-US"/>
        </w:rPr>
        <w:t xml:space="preserve">In this paper </w:t>
      </w:r>
      <w:r w:rsidR="007C7A66">
        <w:rPr>
          <w:sz w:val="24"/>
          <w:lang w:val="en-US"/>
        </w:rPr>
        <w:t xml:space="preserve">we use </w:t>
      </w:r>
      <w:r w:rsidR="003A6EB4">
        <w:rPr>
          <w:sz w:val="24"/>
          <w:lang w:val="en-US"/>
        </w:rPr>
        <w:t xml:space="preserve">data from three large </w:t>
      </w:r>
      <w:r w:rsidR="007C7A66">
        <w:rPr>
          <w:sz w:val="24"/>
          <w:lang w:val="en-US"/>
        </w:rPr>
        <w:t>survey</w:t>
      </w:r>
      <w:r w:rsidR="003A6EB4">
        <w:rPr>
          <w:sz w:val="24"/>
          <w:lang w:val="en-US"/>
        </w:rPr>
        <w:t>s that include information on</w:t>
      </w:r>
      <w:r w:rsidR="007C7A66">
        <w:rPr>
          <w:sz w:val="24"/>
          <w:lang w:val="en-US"/>
        </w:rPr>
        <w:t xml:space="preserve"> self-reports of </w:t>
      </w:r>
      <w:r w:rsidR="00E11E5A">
        <w:rPr>
          <w:sz w:val="24"/>
          <w:lang w:val="en-US"/>
        </w:rPr>
        <w:t xml:space="preserve">subjective </w:t>
      </w:r>
      <w:r w:rsidR="007C7A66">
        <w:rPr>
          <w:sz w:val="24"/>
          <w:lang w:val="en-US"/>
        </w:rPr>
        <w:t>well-being</w:t>
      </w:r>
      <w:r w:rsidR="00A63938">
        <w:rPr>
          <w:sz w:val="24"/>
          <w:lang w:val="en-US"/>
        </w:rPr>
        <w:t>, dissatisfaction with personal health,</w:t>
      </w:r>
      <w:r w:rsidR="007C7A66">
        <w:rPr>
          <w:sz w:val="24"/>
          <w:lang w:val="en-US"/>
        </w:rPr>
        <w:t xml:space="preserve"> and </w:t>
      </w:r>
      <w:r w:rsidR="00A63938">
        <w:rPr>
          <w:sz w:val="24"/>
          <w:lang w:val="en-US"/>
        </w:rPr>
        <w:t>household</w:t>
      </w:r>
      <w:r w:rsidR="007C7A66">
        <w:rPr>
          <w:sz w:val="24"/>
          <w:lang w:val="en-US"/>
        </w:rPr>
        <w:t xml:space="preserve"> income to estimate the coefficient of relative risk aversion</w:t>
      </w:r>
      <w:r w:rsidR="00A63938">
        <w:rPr>
          <w:sz w:val="24"/>
          <w:lang w:val="en-US"/>
        </w:rPr>
        <w:t xml:space="preserve"> and the effect of health state dependence on the utility function</w:t>
      </w:r>
      <w:r w:rsidR="007C7A66">
        <w:rPr>
          <w:sz w:val="24"/>
          <w:lang w:val="en-US"/>
        </w:rPr>
        <w:t xml:space="preserve">. </w:t>
      </w:r>
      <w:r w:rsidR="00034939">
        <w:rPr>
          <w:sz w:val="24"/>
          <w:lang w:val="en-US"/>
        </w:rPr>
        <w:t>Happiness data, although extensively used in recent years to analyze the effects of inflation and unemployment, among other economic issues, has only be</w:t>
      </w:r>
      <w:r w:rsidR="00463584">
        <w:rPr>
          <w:sz w:val="24"/>
          <w:lang w:val="en-US"/>
        </w:rPr>
        <w:t>gun to be</w:t>
      </w:r>
      <w:r w:rsidR="00034939">
        <w:rPr>
          <w:sz w:val="24"/>
          <w:lang w:val="en-US"/>
        </w:rPr>
        <w:t xml:space="preserve"> used to study risk aversion </w:t>
      </w:r>
      <w:r w:rsidR="00A63938">
        <w:rPr>
          <w:sz w:val="24"/>
          <w:lang w:val="en-US"/>
        </w:rPr>
        <w:t>or</w:t>
      </w:r>
      <w:r w:rsidR="00463584">
        <w:rPr>
          <w:sz w:val="24"/>
          <w:lang w:val="en-US"/>
        </w:rPr>
        <w:t xml:space="preserve"> the links with personal health</w:t>
      </w:r>
      <w:r w:rsidR="00034939">
        <w:rPr>
          <w:sz w:val="24"/>
          <w:lang w:val="en-US"/>
        </w:rPr>
        <w:t xml:space="preserve">. </w:t>
      </w:r>
      <w:r w:rsidR="00E67C31">
        <w:rPr>
          <w:sz w:val="24"/>
          <w:lang w:val="en-US"/>
        </w:rPr>
        <w:t xml:space="preserve">Our paper, along with those of </w:t>
      </w:r>
      <w:r w:rsidR="00463584">
        <w:rPr>
          <w:sz w:val="24"/>
          <w:lang w:val="en-US"/>
        </w:rPr>
        <w:t xml:space="preserve">Layard et al. (2008) and Finkelstein et al. (2008) </w:t>
      </w:r>
      <w:r w:rsidR="00E67C31">
        <w:rPr>
          <w:sz w:val="24"/>
          <w:lang w:val="en-US"/>
        </w:rPr>
        <w:t>is among</w:t>
      </w:r>
      <w:r w:rsidR="00463584">
        <w:rPr>
          <w:sz w:val="24"/>
          <w:lang w:val="en-US"/>
        </w:rPr>
        <w:t xml:space="preserve"> the first studies in this area.</w:t>
      </w:r>
      <w:r w:rsidR="00E67C31">
        <w:rPr>
          <w:sz w:val="24"/>
          <w:lang w:val="en-US"/>
        </w:rPr>
        <w:t xml:space="preserve"> </w:t>
      </w:r>
    </w:p>
    <w:p w:rsidR="0097439B" w:rsidRDefault="00034939" w:rsidP="0097439B">
      <w:pPr>
        <w:spacing w:line="360" w:lineRule="auto"/>
        <w:ind w:firstLine="360"/>
        <w:jc w:val="both"/>
        <w:rPr>
          <w:sz w:val="24"/>
          <w:lang w:val="en-US"/>
        </w:rPr>
      </w:pPr>
      <w:r>
        <w:rPr>
          <w:sz w:val="24"/>
          <w:lang w:val="en-US"/>
        </w:rPr>
        <w:t xml:space="preserve">In contrast with Layard et al. (2008), </w:t>
      </w:r>
      <w:r w:rsidR="00463584">
        <w:rPr>
          <w:sz w:val="24"/>
          <w:lang w:val="en-US"/>
        </w:rPr>
        <w:t>who</w:t>
      </w:r>
      <w:r>
        <w:rPr>
          <w:sz w:val="24"/>
          <w:lang w:val="en-US"/>
        </w:rPr>
        <w:t xml:space="preserve"> report estimates of relative risk aversion that exceed a value of one, we obtain estimates that are smaller than one</w:t>
      </w:r>
      <w:r w:rsidR="003A6EB4">
        <w:rPr>
          <w:sz w:val="24"/>
          <w:lang w:val="en-US"/>
        </w:rPr>
        <w:t xml:space="preserve"> in some cases</w:t>
      </w:r>
      <w:r>
        <w:rPr>
          <w:sz w:val="24"/>
          <w:lang w:val="en-US"/>
        </w:rPr>
        <w:t xml:space="preserve">. </w:t>
      </w:r>
      <w:r w:rsidR="00A63938">
        <w:rPr>
          <w:sz w:val="24"/>
          <w:lang w:val="en-US"/>
        </w:rPr>
        <w:t>While the authors do not study the implications of health status, w</w:t>
      </w:r>
      <w:r w:rsidR="00B75594">
        <w:rPr>
          <w:sz w:val="24"/>
          <w:lang w:val="en-US"/>
        </w:rPr>
        <w:t xml:space="preserve">e find that controlling </w:t>
      </w:r>
      <w:r w:rsidR="00B75594">
        <w:rPr>
          <w:sz w:val="24"/>
          <w:lang w:val="en-US"/>
        </w:rPr>
        <w:lastRenderedPageBreak/>
        <w:t>for health dependence tends to reduce the estimates of relative risk aversion, even in the case</w:t>
      </w:r>
      <w:r w:rsidR="008624B2">
        <w:rPr>
          <w:sz w:val="24"/>
          <w:lang w:val="en-US"/>
        </w:rPr>
        <w:t>s</w:t>
      </w:r>
      <w:r w:rsidR="00B75594">
        <w:rPr>
          <w:sz w:val="24"/>
          <w:lang w:val="en-US"/>
        </w:rPr>
        <w:t xml:space="preserve"> for which we obtain </w:t>
      </w:r>
      <w:r w:rsidR="00A63938">
        <w:rPr>
          <w:sz w:val="24"/>
          <w:lang w:val="en-US"/>
        </w:rPr>
        <w:t xml:space="preserve">coefficients of </w:t>
      </w:r>
      <w:r w:rsidR="00B75594">
        <w:rPr>
          <w:sz w:val="24"/>
          <w:lang w:val="en-US"/>
        </w:rPr>
        <w:t xml:space="preserve">relative risk aversion that are greater than one. </w:t>
      </w:r>
    </w:p>
    <w:p w:rsidR="0097439B" w:rsidRPr="0097439B" w:rsidRDefault="00B75594" w:rsidP="0097439B">
      <w:pPr>
        <w:spacing w:line="360" w:lineRule="auto"/>
        <w:ind w:firstLine="360"/>
        <w:jc w:val="both"/>
        <w:rPr>
          <w:sz w:val="24"/>
          <w:lang w:val="en-US"/>
        </w:rPr>
      </w:pPr>
      <w:r>
        <w:rPr>
          <w:sz w:val="24"/>
          <w:lang w:val="en-US"/>
        </w:rPr>
        <w:t>Controlling for health state dependence in the specification of the utility function indicates that individuals who are dissatisfied with personal health are more likely to report lower levels of subjective</w:t>
      </w:r>
      <w:r w:rsidR="00E11E5A">
        <w:rPr>
          <w:sz w:val="24"/>
          <w:lang w:val="en-US"/>
        </w:rPr>
        <w:t xml:space="preserve"> well-being.</w:t>
      </w:r>
      <w:r>
        <w:rPr>
          <w:sz w:val="24"/>
          <w:lang w:val="en-US"/>
        </w:rPr>
        <w:t xml:space="preserve"> </w:t>
      </w:r>
      <w:r w:rsidR="00E11E5A">
        <w:rPr>
          <w:sz w:val="24"/>
          <w:lang w:val="en-US"/>
        </w:rPr>
        <w:t>O</w:t>
      </w:r>
      <w:r>
        <w:rPr>
          <w:sz w:val="24"/>
          <w:lang w:val="en-US"/>
        </w:rPr>
        <w:t xml:space="preserve">ur findings also suggest that the marginal utility of income is higher for individuals who are dissatisfied with their health. This </w:t>
      </w:r>
      <w:r w:rsidR="00E11E5A">
        <w:rPr>
          <w:sz w:val="24"/>
          <w:lang w:val="en-US"/>
        </w:rPr>
        <w:t xml:space="preserve">result is </w:t>
      </w:r>
      <w:r w:rsidR="003A6EB4">
        <w:rPr>
          <w:sz w:val="24"/>
          <w:lang w:val="en-US"/>
        </w:rPr>
        <w:t xml:space="preserve">robust across all three data surveys and is </w:t>
      </w:r>
      <w:r w:rsidR="00E11E5A">
        <w:rPr>
          <w:sz w:val="24"/>
          <w:lang w:val="en-US"/>
        </w:rPr>
        <w:t>in contrast with th</w:t>
      </w:r>
      <w:r w:rsidR="00463584">
        <w:rPr>
          <w:sz w:val="24"/>
          <w:lang w:val="en-US"/>
        </w:rPr>
        <w:t>at</w:t>
      </w:r>
      <w:r w:rsidR="00E11E5A">
        <w:rPr>
          <w:sz w:val="24"/>
          <w:lang w:val="en-US"/>
        </w:rPr>
        <w:t xml:space="preserve"> o</w:t>
      </w:r>
      <w:r w:rsidR="00463584">
        <w:rPr>
          <w:sz w:val="24"/>
          <w:lang w:val="en-US"/>
        </w:rPr>
        <w:t>f Finkelstein et al. (2008), who find the opposite</w:t>
      </w:r>
      <w:r w:rsidR="00E11E5A">
        <w:rPr>
          <w:sz w:val="24"/>
          <w:lang w:val="en-US"/>
        </w:rPr>
        <w:t>.</w:t>
      </w:r>
      <w:r w:rsidR="00383F90">
        <w:rPr>
          <w:sz w:val="24"/>
          <w:lang w:val="en-US"/>
        </w:rPr>
        <w:t xml:space="preserve"> </w:t>
      </w:r>
      <w:r w:rsidR="00003824">
        <w:rPr>
          <w:sz w:val="24"/>
          <w:lang w:val="en-US"/>
        </w:rPr>
        <w:t xml:space="preserve">This result </w:t>
      </w:r>
      <w:r w:rsidR="00491219">
        <w:rPr>
          <w:sz w:val="24"/>
          <w:lang w:val="en-US"/>
        </w:rPr>
        <w:t>may prove important for future analysis of the implications of risk attitudes and health status on the optimal amount of health insurance benefits.</w:t>
      </w:r>
    </w:p>
    <w:p w:rsidR="0097439B" w:rsidRDefault="0097439B" w:rsidP="0097439B">
      <w:pPr>
        <w:spacing w:line="360" w:lineRule="auto"/>
        <w:ind w:firstLine="360"/>
        <w:jc w:val="both"/>
        <w:rPr>
          <w:sz w:val="24"/>
          <w:lang w:val="en-US"/>
        </w:rPr>
      </w:pPr>
    </w:p>
    <w:p w:rsidR="003A6EB4" w:rsidRDefault="003A6EB4" w:rsidP="0097439B">
      <w:pPr>
        <w:spacing w:line="360" w:lineRule="auto"/>
        <w:ind w:firstLine="360"/>
        <w:jc w:val="both"/>
        <w:rPr>
          <w:sz w:val="24"/>
          <w:lang w:val="en-US"/>
        </w:rPr>
      </w:pPr>
    </w:p>
    <w:p w:rsidR="008A793E" w:rsidRDefault="008A793E" w:rsidP="0097439B">
      <w:pPr>
        <w:spacing w:line="360" w:lineRule="auto"/>
        <w:ind w:firstLine="360"/>
        <w:jc w:val="both"/>
        <w:rPr>
          <w:sz w:val="24"/>
          <w:lang w:val="en-US"/>
        </w:rPr>
        <w:sectPr w:rsidR="008A793E" w:rsidSect="001A0C0B">
          <w:footnotePr>
            <w:numRestart w:val="eachSect"/>
          </w:footnotePr>
          <w:endnotePr>
            <w:numFmt w:val="decimal"/>
          </w:endnotePr>
          <w:pgSz w:w="11906" w:h="16838"/>
          <w:pgMar w:top="1418" w:right="1701" w:bottom="1418" w:left="1701" w:header="720" w:footer="720" w:gutter="0"/>
          <w:cols w:space="720"/>
        </w:sectPr>
      </w:pPr>
    </w:p>
    <w:p w:rsidR="00A12590" w:rsidRPr="00D534CB" w:rsidRDefault="00A12590" w:rsidP="00C42B19">
      <w:pPr>
        <w:spacing w:line="360" w:lineRule="auto"/>
        <w:jc w:val="both"/>
        <w:rPr>
          <w:b/>
          <w:sz w:val="24"/>
          <w:lang w:val="en-US"/>
        </w:rPr>
      </w:pPr>
      <w:r w:rsidRPr="00D534CB">
        <w:rPr>
          <w:b/>
          <w:sz w:val="24"/>
          <w:lang w:val="en-US"/>
        </w:rPr>
        <w:lastRenderedPageBreak/>
        <w:t>References</w:t>
      </w:r>
    </w:p>
    <w:p w:rsidR="00896D7C" w:rsidRPr="00577317" w:rsidRDefault="00896D7C" w:rsidP="00896D7C">
      <w:pPr>
        <w:spacing w:before="120" w:line="360" w:lineRule="auto"/>
        <w:ind w:left="510" w:hanging="510"/>
        <w:jc w:val="both"/>
        <w:rPr>
          <w:sz w:val="24"/>
          <w:szCs w:val="24"/>
          <w:lang w:val="en-US"/>
        </w:rPr>
      </w:pPr>
      <w:r>
        <w:rPr>
          <w:sz w:val="24"/>
          <w:szCs w:val="24"/>
          <w:lang w:val="en-US"/>
        </w:rPr>
        <w:t xml:space="preserve">Ai, Chunrong and Norton, Edward C.  (2003). “Interaction Terms in Logit and Probit Models.” </w:t>
      </w:r>
      <w:r w:rsidRPr="00BF6A03">
        <w:rPr>
          <w:i/>
          <w:sz w:val="24"/>
          <w:szCs w:val="24"/>
          <w:lang w:val="en-US"/>
        </w:rPr>
        <w:t>Economics Letters</w:t>
      </w:r>
      <w:r>
        <w:rPr>
          <w:sz w:val="24"/>
          <w:szCs w:val="24"/>
          <w:lang w:val="en-US"/>
        </w:rPr>
        <w:t>, 80(1), 123-29.</w:t>
      </w:r>
    </w:p>
    <w:p w:rsidR="00896D7C" w:rsidRPr="00577317" w:rsidRDefault="00896D7C" w:rsidP="00896D7C">
      <w:pPr>
        <w:spacing w:before="120" w:line="360" w:lineRule="auto"/>
        <w:ind w:left="510" w:hanging="510"/>
        <w:jc w:val="both"/>
        <w:rPr>
          <w:sz w:val="24"/>
          <w:szCs w:val="24"/>
          <w:lang w:val="en-US"/>
        </w:rPr>
      </w:pPr>
      <w:r w:rsidRPr="00577317">
        <w:rPr>
          <w:sz w:val="24"/>
          <w:szCs w:val="24"/>
          <w:lang w:val="en-US"/>
        </w:rPr>
        <w:t>Andersen, Steffen</w:t>
      </w:r>
      <w:r>
        <w:rPr>
          <w:sz w:val="24"/>
          <w:szCs w:val="24"/>
          <w:lang w:val="en-US"/>
        </w:rPr>
        <w:t>;</w:t>
      </w:r>
      <w:r w:rsidRPr="00577317">
        <w:rPr>
          <w:sz w:val="24"/>
          <w:szCs w:val="24"/>
          <w:lang w:val="en-US"/>
        </w:rPr>
        <w:t xml:space="preserve"> Harrison, </w:t>
      </w:r>
      <w:r>
        <w:rPr>
          <w:sz w:val="24"/>
          <w:szCs w:val="24"/>
          <w:lang w:val="en-US"/>
        </w:rPr>
        <w:t xml:space="preserve">Glenn W.; </w:t>
      </w:r>
      <w:r w:rsidRPr="00577317">
        <w:rPr>
          <w:sz w:val="24"/>
          <w:szCs w:val="24"/>
          <w:lang w:val="en-US"/>
        </w:rPr>
        <w:t>Lau</w:t>
      </w:r>
      <w:r>
        <w:rPr>
          <w:sz w:val="24"/>
          <w:szCs w:val="24"/>
          <w:lang w:val="en-US"/>
        </w:rPr>
        <w:t>, Morten I.</w:t>
      </w:r>
      <w:r w:rsidRPr="00577317">
        <w:rPr>
          <w:sz w:val="24"/>
          <w:szCs w:val="24"/>
          <w:lang w:val="en-US"/>
        </w:rPr>
        <w:t xml:space="preserve"> and Rutström</w:t>
      </w:r>
      <w:r>
        <w:rPr>
          <w:sz w:val="24"/>
          <w:szCs w:val="24"/>
          <w:lang w:val="en-US"/>
        </w:rPr>
        <w:t xml:space="preserve">, </w:t>
      </w:r>
      <w:r w:rsidRPr="00577317">
        <w:rPr>
          <w:sz w:val="24"/>
          <w:szCs w:val="24"/>
          <w:lang w:val="en-US"/>
        </w:rPr>
        <w:t>E. Elisabet (2008)</w:t>
      </w:r>
      <w:r>
        <w:rPr>
          <w:sz w:val="24"/>
          <w:szCs w:val="24"/>
          <w:lang w:val="en-US"/>
        </w:rPr>
        <w:t>.</w:t>
      </w:r>
      <w:r w:rsidRPr="00577317">
        <w:rPr>
          <w:sz w:val="24"/>
          <w:szCs w:val="24"/>
          <w:lang w:val="en-US"/>
        </w:rPr>
        <w:t xml:space="preserve"> </w:t>
      </w:r>
      <w:r>
        <w:rPr>
          <w:sz w:val="24"/>
          <w:szCs w:val="24"/>
          <w:lang w:val="en-US"/>
        </w:rPr>
        <w:t>“</w:t>
      </w:r>
      <w:r w:rsidRPr="00577317">
        <w:rPr>
          <w:sz w:val="24"/>
          <w:szCs w:val="24"/>
          <w:lang w:val="en-US"/>
        </w:rPr>
        <w:t>Eliciting Risk and Time Preferences</w:t>
      </w:r>
      <w:r>
        <w:rPr>
          <w:sz w:val="24"/>
          <w:szCs w:val="24"/>
          <w:lang w:val="en-US"/>
        </w:rPr>
        <w:t>.”</w:t>
      </w:r>
      <w:r w:rsidRPr="00577317">
        <w:rPr>
          <w:sz w:val="24"/>
          <w:szCs w:val="24"/>
          <w:lang w:val="en-US"/>
        </w:rPr>
        <w:t xml:space="preserve"> </w:t>
      </w:r>
      <w:r w:rsidRPr="001B3E22">
        <w:rPr>
          <w:i/>
          <w:sz w:val="24"/>
          <w:szCs w:val="24"/>
          <w:lang w:val="en-US"/>
        </w:rPr>
        <w:t>Econometrica</w:t>
      </w:r>
      <w:r w:rsidRPr="00577317">
        <w:rPr>
          <w:sz w:val="24"/>
          <w:szCs w:val="24"/>
          <w:lang w:val="en-US"/>
        </w:rPr>
        <w:t>, 76(3), 583-618</w:t>
      </w:r>
      <w:r>
        <w:rPr>
          <w:sz w:val="24"/>
          <w:szCs w:val="24"/>
          <w:lang w:val="en-US"/>
        </w:rPr>
        <w:t>.</w:t>
      </w:r>
    </w:p>
    <w:p w:rsidR="007E298A" w:rsidRPr="007E298A" w:rsidRDefault="007E298A" w:rsidP="008A793E">
      <w:pPr>
        <w:spacing w:before="120" w:line="360" w:lineRule="auto"/>
        <w:ind w:left="510" w:hanging="510"/>
        <w:jc w:val="both"/>
        <w:rPr>
          <w:sz w:val="24"/>
          <w:szCs w:val="24"/>
          <w:lang w:val="en-GB"/>
        </w:rPr>
      </w:pPr>
      <w:r w:rsidRPr="001A3B45">
        <w:rPr>
          <w:sz w:val="24"/>
          <w:szCs w:val="24"/>
          <w:lang w:val="en-US"/>
        </w:rPr>
        <w:t>Arrow, Kenneth (1965)</w:t>
      </w:r>
      <w:r w:rsidR="009B6A62">
        <w:rPr>
          <w:sz w:val="24"/>
          <w:szCs w:val="24"/>
          <w:lang w:val="en-US"/>
        </w:rPr>
        <w:t>.</w:t>
      </w:r>
      <w:r w:rsidRPr="001A3B45">
        <w:rPr>
          <w:sz w:val="24"/>
          <w:szCs w:val="24"/>
          <w:lang w:val="en-US"/>
        </w:rPr>
        <w:t xml:space="preserve"> </w:t>
      </w:r>
      <w:r w:rsidRPr="001A3B45">
        <w:rPr>
          <w:i/>
          <w:sz w:val="24"/>
          <w:szCs w:val="24"/>
          <w:lang w:val="en-US"/>
        </w:rPr>
        <w:t xml:space="preserve">Aspects of </w:t>
      </w:r>
      <w:r w:rsidRPr="007E298A">
        <w:rPr>
          <w:i/>
          <w:sz w:val="24"/>
          <w:szCs w:val="24"/>
          <w:lang w:val="en-GB"/>
        </w:rPr>
        <w:t>the Theory of Risk Bearing</w:t>
      </w:r>
      <w:r w:rsidR="009B6A62">
        <w:rPr>
          <w:sz w:val="24"/>
          <w:szCs w:val="24"/>
          <w:lang w:val="en-GB"/>
        </w:rPr>
        <w:t>.</w:t>
      </w:r>
      <w:r w:rsidRPr="007E298A">
        <w:rPr>
          <w:sz w:val="24"/>
          <w:szCs w:val="24"/>
          <w:lang w:val="en-GB"/>
        </w:rPr>
        <w:t xml:space="preserve"> Helsinki</w:t>
      </w:r>
      <w:r w:rsidR="009B6A62">
        <w:rPr>
          <w:sz w:val="24"/>
          <w:szCs w:val="24"/>
          <w:lang w:val="en-GB"/>
        </w:rPr>
        <w:t>:</w:t>
      </w:r>
      <w:r w:rsidRPr="007E298A">
        <w:rPr>
          <w:sz w:val="24"/>
          <w:szCs w:val="24"/>
          <w:lang w:val="en-GB"/>
        </w:rPr>
        <w:t xml:space="preserve"> Yrjö Jahnss</w:t>
      </w:r>
      <w:r w:rsidR="009B6A62">
        <w:rPr>
          <w:sz w:val="24"/>
          <w:szCs w:val="24"/>
          <w:lang w:val="en-GB"/>
        </w:rPr>
        <w:t>onin S</w:t>
      </w:r>
      <w:r w:rsidR="009B6A62" w:rsidRPr="00BF4435">
        <w:rPr>
          <w:sz w:val="24"/>
          <w:szCs w:val="24"/>
          <w:lang w:val="en-GB"/>
        </w:rPr>
        <w:t>a</w:t>
      </w:r>
      <w:r w:rsidR="009B6A62" w:rsidRPr="00BF4435">
        <w:rPr>
          <w:rFonts w:ascii="Cambria Math" w:hAnsi="Cambria Math"/>
          <w:sz w:val="24"/>
          <w:szCs w:val="24"/>
          <w:lang w:val="en-GB"/>
        </w:rPr>
        <w:t>̈</w:t>
      </w:r>
      <w:r w:rsidR="009B6A62" w:rsidRPr="00BF4435">
        <w:rPr>
          <w:sz w:val="24"/>
          <w:szCs w:val="24"/>
          <w:lang w:val="en-GB"/>
        </w:rPr>
        <w:t>a</w:t>
      </w:r>
      <w:r w:rsidR="009B6A62" w:rsidRPr="00BF4435">
        <w:rPr>
          <w:rFonts w:ascii="Cambria Math" w:hAnsi="Cambria Math"/>
          <w:sz w:val="24"/>
          <w:szCs w:val="24"/>
          <w:lang w:val="en-GB"/>
        </w:rPr>
        <w:t>̈ti</w:t>
      </w:r>
      <w:r w:rsidR="009B6A62" w:rsidRPr="007E298A">
        <w:rPr>
          <w:sz w:val="24"/>
          <w:szCs w:val="24"/>
          <w:lang w:val="en-GB"/>
        </w:rPr>
        <w:t>ö</w:t>
      </w:r>
      <w:r w:rsidR="009B6A62">
        <w:rPr>
          <w:sz w:val="24"/>
          <w:szCs w:val="24"/>
          <w:lang w:val="en-GB"/>
        </w:rPr>
        <w:t>.</w:t>
      </w:r>
    </w:p>
    <w:p w:rsidR="009B6A62" w:rsidRPr="00315B1B" w:rsidRDefault="00315B1B" w:rsidP="008A793E">
      <w:pPr>
        <w:spacing w:before="120" w:line="360" w:lineRule="auto"/>
        <w:ind w:left="567" w:hanging="567"/>
        <w:jc w:val="both"/>
        <w:rPr>
          <w:sz w:val="24"/>
          <w:szCs w:val="24"/>
          <w:lang w:val="en-US"/>
        </w:rPr>
      </w:pPr>
      <w:r w:rsidRPr="00315B1B">
        <w:rPr>
          <w:sz w:val="24"/>
          <w:szCs w:val="24"/>
          <w:lang w:val="en-US"/>
        </w:rPr>
        <w:t>Bartunek, K</w:t>
      </w:r>
      <w:r w:rsidR="0098464C">
        <w:rPr>
          <w:sz w:val="24"/>
          <w:szCs w:val="24"/>
          <w:lang w:val="en-US"/>
        </w:rPr>
        <w:t xml:space="preserve">enneth S. </w:t>
      </w:r>
      <w:r w:rsidR="00327537">
        <w:rPr>
          <w:sz w:val="24"/>
          <w:szCs w:val="24"/>
          <w:lang w:val="en-US"/>
        </w:rPr>
        <w:t>a</w:t>
      </w:r>
      <w:r w:rsidR="0098464C">
        <w:rPr>
          <w:sz w:val="24"/>
          <w:szCs w:val="24"/>
          <w:lang w:val="en-US"/>
        </w:rPr>
        <w:t xml:space="preserve">nd </w:t>
      </w:r>
      <w:r w:rsidRPr="00315B1B">
        <w:rPr>
          <w:sz w:val="24"/>
          <w:szCs w:val="24"/>
          <w:lang w:val="en-US"/>
        </w:rPr>
        <w:t>Chowdhury</w:t>
      </w:r>
      <w:r w:rsidR="00327537">
        <w:rPr>
          <w:sz w:val="24"/>
          <w:szCs w:val="24"/>
          <w:lang w:val="en-US"/>
        </w:rPr>
        <w:t>, Mustafa</w:t>
      </w:r>
      <w:r w:rsidR="00327537" w:rsidRPr="00315B1B">
        <w:rPr>
          <w:sz w:val="24"/>
          <w:szCs w:val="24"/>
          <w:lang w:val="en-US"/>
        </w:rPr>
        <w:t xml:space="preserve"> </w:t>
      </w:r>
      <w:r w:rsidRPr="00315B1B">
        <w:rPr>
          <w:sz w:val="24"/>
          <w:szCs w:val="24"/>
          <w:lang w:val="en-US"/>
        </w:rPr>
        <w:t>(1997)</w:t>
      </w:r>
      <w:r w:rsidR="009B6A62">
        <w:rPr>
          <w:sz w:val="24"/>
          <w:szCs w:val="24"/>
          <w:lang w:val="en-US"/>
        </w:rPr>
        <w:t>.</w:t>
      </w:r>
      <w:r w:rsidRPr="00315B1B">
        <w:rPr>
          <w:sz w:val="24"/>
          <w:szCs w:val="24"/>
          <w:lang w:val="en-US"/>
        </w:rPr>
        <w:t xml:space="preserve"> </w:t>
      </w:r>
      <w:r w:rsidR="001B3E22">
        <w:rPr>
          <w:sz w:val="24"/>
          <w:szCs w:val="24"/>
          <w:lang w:val="en-US"/>
        </w:rPr>
        <w:t>“</w:t>
      </w:r>
      <w:r w:rsidRPr="00315B1B">
        <w:rPr>
          <w:sz w:val="24"/>
          <w:szCs w:val="24"/>
          <w:lang w:val="en-US"/>
        </w:rPr>
        <w:t>Implied Risk Aversion Par</w:t>
      </w:r>
      <w:r w:rsidR="00327537">
        <w:rPr>
          <w:sz w:val="24"/>
          <w:szCs w:val="24"/>
          <w:lang w:val="en-US"/>
        </w:rPr>
        <w:t>a</w:t>
      </w:r>
      <w:r w:rsidRPr="00315B1B">
        <w:rPr>
          <w:sz w:val="24"/>
          <w:szCs w:val="24"/>
          <w:lang w:val="en-US"/>
        </w:rPr>
        <w:t>meter from Option Prices</w:t>
      </w:r>
      <w:r w:rsidR="009B6A62">
        <w:rPr>
          <w:sz w:val="24"/>
          <w:szCs w:val="24"/>
          <w:lang w:val="en-US"/>
        </w:rPr>
        <w:t>.</w:t>
      </w:r>
      <w:r w:rsidR="001B3E22">
        <w:rPr>
          <w:sz w:val="24"/>
          <w:szCs w:val="24"/>
          <w:lang w:val="en-US"/>
        </w:rPr>
        <w:t>”</w:t>
      </w:r>
      <w:r w:rsidRPr="00315B1B">
        <w:rPr>
          <w:sz w:val="24"/>
          <w:szCs w:val="24"/>
          <w:lang w:val="en-US"/>
        </w:rPr>
        <w:t xml:space="preserve"> </w:t>
      </w:r>
      <w:r w:rsidRPr="00315B1B">
        <w:rPr>
          <w:i/>
          <w:sz w:val="24"/>
          <w:szCs w:val="24"/>
          <w:lang w:val="en-US"/>
        </w:rPr>
        <w:t>The Financial Review</w:t>
      </w:r>
      <w:r w:rsidRPr="00315B1B">
        <w:rPr>
          <w:sz w:val="24"/>
          <w:szCs w:val="24"/>
          <w:lang w:val="en-US"/>
        </w:rPr>
        <w:t>, 32(1), 107</w:t>
      </w:r>
      <w:r w:rsidR="0098464C">
        <w:rPr>
          <w:sz w:val="24"/>
          <w:szCs w:val="24"/>
          <w:lang w:val="en-US"/>
        </w:rPr>
        <w:t>-</w:t>
      </w:r>
      <w:r w:rsidRPr="00315B1B">
        <w:rPr>
          <w:sz w:val="24"/>
          <w:szCs w:val="24"/>
          <w:lang w:val="en-US"/>
        </w:rPr>
        <w:t xml:space="preserve">24. </w:t>
      </w:r>
    </w:p>
    <w:p w:rsidR="00896D7C" w:rsidRPr="00315B1B" w:rsidRDefault="00896D7C" w:rsidP="00896D7C">
      <w:pPr>
        <w:spacing w:before="120" w:line="360" w:lineRule="auto"/>
        <w:ind w:left="510" w:hanging="510"/>
        <w:jc w:val="both"/>
        <w:rPr>
          <w:sz w:val="24"/>
          <w:szCs w:val="24"/>
          <w:lang w:val="en-US"/>
        </w:rPr>
      </w:pPr>
      <w:r>
        <w:rPr>
          <w:sz w:val="24"/>
          <w:szCs w:val="24"/>
          <w:lang w:val="en-US"/>
        </w:rPr>
        <w:t xml:space="preserve">Buis, Maarten L. (2010). “Stata Tip 87: Interpretation of Interactions in Nonlinear Models.” </w:t>
      </w:r>
      <w:r w:rsidRPr="00BF6A03">
        <w:rPr>
          <w:i/>
          <w:sz w:val="24"/>
          <w:szCs w:val="24"/>
          <w:lang w:val="en-US"/>
        </w:rPr>
        <w:t>The Stata Journal</w:t>
      </w:r>
      <w:r>
        <w:rPr>
          <w:sz w:val="24"/>
          <w:szCs w:val="24"/>
          <w:lang w:val="en-US"/>
        </w:rPr>
        <w:t>, 10(2), pp. 305-8.</w:t>
      </w:r>
    </w:p>
    <w:p w:rsidR="00896D7C" w:rsidRDefault="00896D7C" w:rsidP="00896D7C">
      <w:pPr>
        <w:spacing w:before="120" w:line="360" w:lineRule="auto"/>
        <w:ind w:left="510" w:hanging="510"/>
        <w:jc w:val="both"/>
        <w:rPr>
          <w:sz w:val="24"/>
          <w:szCs w:val="24"/>
          <w:lang w:val="en-US"/>
        </w:rPr>
      </w:pPr>
      <w:r w:rsidRPr="00BF4435">
        <w:rPr>
          <w:sz w:val="24"/>
          <w:szCs w:val="24"/>
        </w:rPr>
        <w:t xml:space="preserve">Campo, Sandra; Guerre, Emmanuel; Perrigne, Isabelle; and Vuong, Quang (2011). </w:t>
      </w:r>
      <w:r>
        <w:rPr>
          <w:sz w:val="24"/>
          <w:szCs w:val="24"/>
          <w:lang w:val="en-US"/>
        </w:rPr>
        <w:t>“</w:t>
      </w:r>
      <w:r w:rsidRPr="00577317">
        <w:rPr>
          <w:sz w:val="24"/>
          <w:szCs w:val="24"/>
          <w:lang w:val="en-US"/>
        </w:rPr>
        <w:t>Semiparametric Estimation of First-Price Auctions with Risk-Averse Bidders</w:t>
      </w:r>
      <w:r>
        <w:rPr>
          <w:sz w:val="24"/>
          <w:szCs w:val="24"/>
          <w:lang w:val="en-US"/>
        </w:rPr>
        <w:t>.”</w:t>
      </w:r>
      <w:r w:rsidRPr="00577317">
        <w:rPr>
          <w:sz w:val="24"/>
          <w:szCs w:val="24"/>
          <w:lang w:val="en-US"/>
        </w:rPr>
        <w:t xml:space="preserve"> </w:t>
      </w:r>
      <w:r w:rsidRPr="001B3E22">
        <w:rPr>
          <w:i/>
          <w:sz w:val="24"/>
          <w:szCs w:val="24"/>
          <w:lang w:val="en-US"/>
        </w:rPr>
        <w:t>Review of Economic Studies</w:t>
      </w:r>
      <w:r w:rsidRPr="00577317">
        <w:rPr>
          <w:sz w:val="24"/>
          <w:szCs w:val="24"/>
          <w:lang w:val="en-US"/>
        </w:rPr>
        <w:t>, 78(1): 1</w:t>
      </w:r>
      <w:r>
        <w:rPr>
          <w:sz w:val="24"/>
          <w:szCs w:val="24"/>
          <w:lang w:val="en-US"/>
        </w:rPr>
        <w:t>12-</w:t>
      </w:r>
      <w:r w:rsidRPr="00577317">
        <w:rPr>
          <w:sz w:val="24"/>
          <w:szCs w:val="24"/>
          <w:lang w:val="en-US"/>
        </w:rPr>
        <w:t>47.</w:t>
      </w:r>
    </w:p>
    <w:p w:rsidR="00896D7C" w:rsidRPr="00577317" w:rsidRDefault="00E67C31" w:rsidP="00896D7C">
      <w:pPr>
        <w:spacing w:before="120" w:line="360" w:lineRule="auto"/>
        <w:ind w:left="510" w:hanging="510"/>
        <w:jc w:val="both"/>
        <w:rPr>
          <w:sz w:val="24"/>
          <w:szCs w:val="24"/>
          <w:lang w:val="en-US"/>
        </w:rPr>
      </w:pPr>
      <w:r>
        <w:rPr>
          <w:sz w:val="24"/>
          <w:szCs w:val="24"/>
          <w:lang w:val="en-US"/>
        </w:rPr>
        <w:t>Chetty, Raj (2006). “</w:t>
      </w:r>
      <w:r w:rsidR="00896D7C" w:rsidRPr="00577317">
        <w:rPr>
          <w:sz w:val="24"/>
          <w:szCs w:val="24"/>
          <w:lang w:val="en-US"/>
        </w:rPr>
        <w:t>A New Method of Estimating Risk Aversion</w:t>
      </w:r>
      <w:r w:rsidR="00896D7C">
        <w:rPr>
          <w:sz w:val="24"/>
          <w:szCs w:val="24"/>
          <w:lang w:val="en-US"/>
        </w:rPr>
        <w:t>.</w:t>
      </w:r>
      <w:r>
        <w:rPr>
          <w:sz w:val="24"/>
          <w:szCs w:val="24"/>
          <w:lang w:val="en-US"/>
        </w:rPr>
        <w:t>”</w:t>
      </w:r>
      <w:r w:rsidR="00896D7C" w:rsidRPr="00577317">
        <w:rPr>
          <w:sz w:val="24"/>
          <w:szCs w:val="24"/>
          <w:lang w:val="en-US"/>
        </w:rPr>
        <w:t xml:space="preserve"> </w:t>
      </w:r>
      <w:r w:rsidR="00896D7C" w:rsidRPr="00BF6A03">
        <w:rPr>
          <w:i/>
          <w:sz w:val="24"/>
          <w:szCs w:val="24"/>
          <w:lang w:val="en-US"/>
        </w:rPr>
        <w:t>American Economic Review</w:t>
      </w:r>
      <w:r w:rsidR="00896D7C" w:rsidRPr="00577317">
        <w:rPr>
          <w:sz w:val="24"/>
          <w:szCs w:val="24"/>
          <w:lang w:val="en-US"/>
        </w:rPr>
        <w:t>, 96(5), p</w:t>
      </w:r>
      <w:r w:rsidR="00896D7C">
        <w:rPr>
          <w:sz w:val="24"/>
          <w:szCs w:val="24"/>
          <w:lang w:val="en-US"/>
        </w:rPr>
        <w:t>p.</w:t>
      </w:r>
      <w:r w:rsidR="00896D7C" w:rsidRPr="00577317">
        <w:rPr>
          <w:sz w:val="24"/>
          <w:szCs w:val="24"/>
          <w:lang w:val="en-US"/>
        </w:rPr>
        <w:t xml:space="preserve"> 1821-34.</w:t>
      </w:r>
    </w:p>
    <w:p w:rsidR="007E298A" w:rsidRPr="007E298A" w:rsidRDefault="007E298A" w:rsidP="008A793E">
      <w:pPr>
        <w:spacing w:before="120" w:line="360" w:lineRule="auto"/>
        <w:ind w:left="510" w:hanging="510"/>
        <w:jc w:val="both"/>
        <w:rPr>
          <w:sz w:val="24"/>
          <w:szCs w:val="24"/>
          <w:lang w:val="en-GB"/>
        </w:rPr>
      </w:pPr>
      <w:r w:rsidRPr="007E298A">
        <w:rPr>
          <w:sz w:val="24"/>
          <w:szCs w:val="24"/>
          <w:lang w:val="en-GB"/>
        </w:rPr>
        <w:t>Cohn, Richard</w:t>
      </w:r>
      <w:r w:rsidR="00327537">
        <w:rPr>
          <w:sz w:val="24"/>
          <w:szCs w:val="24"/>
          <w:lang w:val="en-GB"/>
        </w:rPr>
        <w:t xml:space="preserve"> A.;</w:t>
      </w:r>
      <w:r w:rsidRPr="007E298A">
        <w:rPr>
          <w:sz w:val="24"/>
          <w:szCs w:val="24"/>
          <w:lang w:val="en-GB"/>
        </w:rPr>
        <w:t xml:space="preserve"> </w:t>
      </w:r>
      <w:r w:rsidR="00327537" w:rsidRPr="007E298A">
        <w:rPr>
          <w:sz w:val="24"/>
          <w:szCs w:val="24"/>
          <w:lang w:val="en-GB"/>
        </w:rPr>
        <w:t>Lewellen</w:t>
      </w:r>
      <w:r w:rsidR="00327537">
        <w:rPr>
          <w:sz w:val="24"/>
          <w:szCs w:val="24"/>
          <w:lang w:val="en-GB"/>
        </w:rPr>
        <w:t>,</w:t>
      </w:r>
      <w:r w:rsidRPr="007E298A">
        <w:rPr>
          <w:sz w:val="24"/>
          <w:szCs w:val="24"/>
          <w:lang w:val="en-GB"/>
        </w:rPr>
        <w:t>Wilbur</w:t>
      </w:r>
      <w:r w:rsidR="00327537">
        <w:rPr>
          <w:sz w:val="24"/>
          <w:szCs w:val="24"/>
          <w:lang w:val="en-GB"/>
        </w:rPr>
        <w:t xml:space="preserve"> G.;</w:t>
      </w:r>
      <w:r w:rsidRPr="007E298A">
        <w:rPr>
          <w:sz w:val="24"/>
          <w:szCs w:val="24"/>
          <w:lang w:val="en-GB"/>
        </w:rPr>
        <w:t xml:space="preserve"> </w:t>
      </w:r>
      <w:r w:rsidR="00327537">
        <w:rPr>
          <w:sz w:val="24"/>
          <w:szCs w:val="24"/>
          <w:lang w:val="en-GB"/>
        </w:rPr>
        <w:t xml:space="preserve">Lease, </w:t>
      </w:r>
      <w:r w:rsidR="00327537" w:rsidRPr="007E298A">
        <w:rPr>
          <w:sz w:val="24"/>
          <w:szCs w:val="24"/>
          <w:lang w:val="en-GB"/>
        </w:rPr>
        <w:t>R</w:t>
      </w:r>
      <w:r w:rsidR="00327537">
        <w:rPr>
          <w:sz w:val="24"/>
          <w:szCs w:val="24"/>
          <w:lang w:val="en-GB"/>
        </w:rPr>
        <w:t>onald C.</w:t>
      </w:r>
      <w:r w:rsidR="0098464C">
        <w:rPr>
          <w:sz w:val="24"/>
          <w:szCs w:val="24"/>
          <w:lang w:val="en-GB"/>
        </w:rPr>
        <w:t xml:space="preserve"> and Schlarbaum</w:t>
      </w:r>
      <w:r w:rsidR="003B49E6">
        <w:rPr>
          <w:sz w:val="24"/>
          <w:szCs w:val="24"/>
          <w:lang w:val="en-GB"/>
        </w:rPr>
        <w:t xml:space="preserve">, Gary G. </w:t>
      </w:r>
      <w:r w:rsidR="0098464C">
        <w:rPr>
          <w:sz w:val="24"/>
          <w:szCs w:val="24"/>
          <w:lang w:val="en-GB"/>
        </w:rPr>
        <w:t xml:space="preserve"> </w:t>
      </w:r>
      <w:r w:rsidRPr="007E298A">
        <w:rPr>
          <w:sz w:val="24"/>
          <w:szCs w:val="24"/>
          <w:lang w:val="en-GB"/>
        </w:rPr>
        <w:t>(1975)</w:t>
      </w:r>
      <w:r w:rsidR="009B6A62">
        <w:rPr>
          <w:sz w:val="24"/>
          <w:szCs w:val="24"/>
          <w:lang w:val="en-GB"/>
        </w:rPr>
        <w:t>.</w:t>
      </w:r>
      <w:r w:rsidRPr="007E298A">
        <w:rPr>
          <w:sz w:val="24"/>
          <w:szCs w:val="24"/>
          <w:lang w:val="en-GB"/>
        </w:rPr>
        <w:t xml:space="preserve"> “Individual </w:t>
      </w:r>
      <w:r w:rsidR="0098464C">
        <w:rPr>
          <w:sz w:val="24"/>
          <w:szCs w:val="24"/>
          <w:lang w:val="en-GB"/>
        </w:rPr>
        <w:t>I</w:t>
      </w:r>
      <w:r w:rsidRPr="007E298A">
        <w:rPr>
          <w:sz w:val="24"/>
          <w:szCs w:val="24"/>
          <w:lang w:val="en-GB"/>
        </w:rPr>
        <w:t xml:space="preserve">nvestor </w:t>
      </w:r>
      <w:r w:rsidR="0098464C">
        <w:rPr>
          <w:sz w:val="24"/>
          <w:szCs w:val="24"/>
          <w:lang w:val="en-GB"/>
        </w:rPr>
        <w:t>R</w:t>
      </w:r>
      <w:r w:rsidRPr="007E298A">
        <w:rPr>
          <w:sz w:val="24"/>
          <w:szCs w:val="24"/>
          <w:lang w:val="en-GB"/>
        </w:rPr>
        <w:t xml:space="preserve">isk </w:t>
      </w:r>
      <w:r w:rsidR="0098464C">
        <w:rPr>
          <w:sz w:val="24"/>
          <w:szCs w:val="24"/>
          <w:lang w:val="en-GB"/>
        </w:rPr>
        <w:t>A</w:t>
      </w:r>
      <w:r w:rsidRPr="007E298A">
        <w:rPr>
          <w:sz w:val="24"/>
          <w:szCs w:val="24"/>
          <w:lang w:val="en-GB"/>
        </w:rPr>
        <w:t xml:space="preserve">version and </w:t>
      </w:r>
      <w:r w:rsidR="0098464C">
        <w:rPr>
          <w:sz w:val="24"/>
          <w:szCs w:val="24"/>
          <w:lang w:val="en-GB"/>
        </w:rPr>
        <w:t>I</w:t>
      </w:r>
      <w:r w:rsidRPr="007E298A">
        <w:rPr>
          <w:sz w:val="24"/>
          <w:szCs w:val="24"/>
          <w:lang w:val="en-GB"/>
        </w:rPr>
        <w:t xml:space="preserve">nvestment </w:t>
      </w:r>
      <w:r w:rsidR="0098464C">
        <w:rPr>
          <w:sz w:val="24"/>
          <w:szCs w:val="24"/>
          <w:lang w:val="en-GB"/>
        </w:rPr>
        <w:t>P</w:t>
      </w:r>
      <w:r w:rsidRPr="007E298A">
        <w:rPr>
          <w:sz w:val="24"/>
          <w:szCs w:val="24"/>
          <w:lang w:val="en-GB"/>
        </w:rPr>
        <w:t xml:space="preserve">ortfolio </w:t>
      </w:r>
      <w:r w:rsidR="0098464C">
        <w:rPr>
          <w:sz w:val="24"/>
          <w:szCs w:val="24"/>
          <w:lang w:val="en-GB"/>
        </w:rPr>
        <w:t>C</w:t>
      </w:r>
      <w:r w:rsidRPr="007E298A">
        <w:rPr>
          <w:sz w:val="24"/>
          <w:szCs w:val="24"/>
          <w:lang w:val="en-GB"/>
        </w:rPr>
        <w:t>omposition</w:t>
      </w:r>
      <w:r w:rsidR="009B6A62">
        <w:rPr>
          <w:sz w:val="24"/>
          <w:szCs w:val="24"/>
          <w:lang w:val="en-GB"/>
        </w:rPr>
        <w:t>.</w:t>
      </w:r>
      <w:r w:rsidRPr="007E298A">
        <w:rPr>
          <w:sz w:val="24"/>
          <w:szCs w:val="24"/>
          <w:lang w:val="en-GB"/>
        </w:rPr>
        <w:t>”</w:t>
      </w:r>
      <w:r w:rsidR="009B6A62">
        <w:rPr>
          <w:sz w:val="24"/>
          <w:szCs w:val="24"/>
          <w:lang w:val="en-GB"/>
        </w:rPr>
        <w:t xml:space="preserve"> </w:t>
      </w:r>
      <w:r w:rsidRPr="007E298A">
        <w:rPr>
          <w:i/>
          <w:sz w:val="24"/>
          <w:szCs w:val="24"/>
          <w:lang w:val="en-GB"/>
        </w:rPr>
        <w:t>Journal of Finance</w:t>
      </w:r>
      <w:r w:rsidR="0098464C">
        <w:rPr>
          <w:b/>
          <w:sz w:val="24"/>
          <w:szCs w:val="24"/>
          <w:lang w:val="en-GB"/>
        </w:rPr>
        <w:t xml:space="preserve">, </w:t>
      </w:r>
      <w:r w:rsidR="0098464C">
        <w:rPr>
          <w:sz w:val="24"/>
          <w:szCs w:val="24"/>
          <w:lang w:val="en-GB"/>
        </w:rPr>
        <w:t xml:space="preserve">30(2), </w:t>
      </w:r>
      <w:r w:rsidR="00327537">
        <w:rPr>
          <w:sz w:val="24"/>
          <w:szCs w:val="24"/>
          <w:lang w:val="en-GB"/>
        </w:rPr>
        <w:t>605-</w:t>
      </w:r>
      <w:r w:rsidRPr="007E298A">
        <w:rPr>
          <w:sz w:val="24"/>
          <w:szCs w:val="24"/>
          <w:lang w:val="en-GB"/>
        </w:rPr>
        <w:t>20.</w:t>
      </w:r>
    </w:p>
    <w:p w:rsidR="00896D7C" w:rsidRPr="00577317" w:rsidRDefault="00896D7C" w:rsidP="00896D7C">
      <w:pPr>
        <w:spacing w:before="120" w:line="360" w:lineRule="auto"/>
        <w:ind w:left="510" w:hanging="510"/>
        <w:jc w:val="both"/>
        <w:rPr>
          <w:sz w:val="24"/>
          <w:szCs w:val="24"/>
          <w:lang w:val="en-US"/>
        </w:rPr>
      </w:pPr>
      <w:r w:rsidRPr="00577317">
        <w:rPr>
          <w:sz w:val="24"/>
          <w:szCs w:val="24"/>
          <w:lang w:val="en-US"/>
        </w:rPr>
        <w:t>Cox, James</w:t>
      </w:r>
      <w:r>
        <w:rPr>
          <w:sz w:val="24"/>
          <w:szCs w:val="24"/>
          <w:lang w:val="en-US"/>
        </w:rPr>
        <w:t xml:space="preserve"> C.</w:t>
      </w:r>
      <w:r w:rsidRPr="00577317">
        <w:rPr>
          <w:sz w:val="24"/>
          <w:szCs w:val="24"/>
          <w:lang w:val="en-US"/>
        </w:rPr>
        <w:t xml:space="preserve"> and Oaxaca</w:t>
      </w:r>
      <w:r>
        <w:rPr>
          <w:sz w:val="24"/>
          <w:szCs w:val="24"/>
          <w:lang w:val="en-US"/>
        </w:rPr>
        <w:t xml:space="preserve">, </w:t>
      </w:r>
      <w:r w:rsidRPr="00577317">
        <w:rPr>
          <w:sz w:val="24"/>
          <w:szCs w:val="24"/>
          <w:lang w:val="en-US"/>
        </w:rPr>
        <w:t xml:space="preserve">Ronald L.  (1996). </w:t>
      </w:r>
      <w:r>
        <w:rPr>
          <w:sz w:val="24"/>
          <w:szCs w:val="24"/>
          <w:lang w:val="en-US"/>
        </w:rPr>
        <w:t>“</w:t>
      </w:r>
      <w:r w:rsidRPr="00577317">
        <w:rPr>
          <w:sz w:val="24"/>
          <w:szCs w:val="24"/>
          <w:lang w:val="en-US"/>
        </w:rPr>
        <w:t xml:space="preserve">Is </w:t>
      </w:r>
      <w:r>
        <w:rPr>
          <w:sz w:val="24"/>
          <w:szCs w:val="24"/>
          <w:lang w:val="en-US"/>
        </w:rPr>
        <w:t>B</w:t>
      </w:r>
      <w:r w:rsidRPr="00577317">
        <w:rPr>
          <w:sz w:val="24"/>
          <w:szCs w:val="24"/>
          <w:lang w:val="en-US"/>
        </w:rPr>
        <w:t xml:space="preserve">idding </w:t>
      </w:r>
      <w:r>
        <w:rPr>
          <w:sz w:val="24"/>
          <w:szCs w:val="24"/>
          <w:lang w:val="en-US"/>
        </w:rPr>
        <w:t>B</w:t>
      </w:r>
      <w:r w:rsidRPr="00577317">
        <w:rPr>
          <w:sz w:val="24"/>
          <w:szCs w:val="24"/>
          <w:lang w:val="en-US"/>
        </w:rPr>
        <w:t xml:space="preserve">ehavior </w:t>
      </w:r>
      <w:r>
        <w:rPr>
          <w:sz w:val="24"/>
          <w:szCs w:val="24"/>
          <w:lang w:val="en-US"/>
        </w:rPr>
        <w:t>C</w:t>
      </w:r>
      <w:r w:rsidRPr="00577317">
        <w:rPr>
          <w:sz w:val="24"/>
          <w:szCs w:val="24"/>
          <w:lang w:val="en-US"/>
        </w:rPr>
        <w:t xml:space="preserve">onsistent with </w:t>
      </w:r>
      <w:r>
        <w:rPr>
          <w:sz w:val="24"/>
          <w:szCs w:val="24"/>
          <w:lang w:val="en-US"/>
        </w:rPr>
        <w:t>B</w:t>
      </w:r>
      <w:r w:rsidRPr="00577317">
        <w:rPr>
          <w:sz w:val="24"/>
          <w:szCs w:val="24"/>
          <w:lang w:val="en-US"/>
        </w:rPr>
        <w:t xml:space="preserve">idding </w:t>
      </w:r>
      <w:r>
        <w:rPr>
          <w:sz w:val="24"/>
          <w:szCs w:val="24"/>
          <w:lang w:val="en-US"/>
        </w:rPr>
        <w:t>T</w:t>
      </w:r>
      <w:r w:rsidRPr="00577317">
        <w:rPr>
          <w:sz w:val="24"/>
          <w:szCs w:val="24"/>
          <w:lang w:val="en-US"/>
        </w:rPr>
        <w:t>he</w:t>
      </w:r>
      <w:r>
        <w:rPr>
          <w:sz w:val="24"/>
          <w:szCs w:val="24"/>
          <w:lang w:val="en-US"/>
        </w:rPr>
        <w:t>ory for Private Value Auctions?”</w:t>
      </w:r>
      <w:r w:rsidRPr="00577317">
        <w:rPr>
          <w:sz w:val="24"/>
          <w:szCs w:val="24"/>
          <w:lang w:val="en-US"/>
        </w:rPr>
        <w:t xml:space="preserve"> </w:t>
      </w:r>
      <w:r w:rsidRPr="00BF6A03">
        <w:rPr>
          <w:i/>
          <w:sz w:val="24"/>
          <w:szCs w:val="24"/>
          <w:lang w:val="en-US"/>
        </w:rPr>
        <w:t>Research in Experimental Economics</w:t>
      </w:r>
      <w:r w:rsidRPr="00577317">
        <w:rPr>
          <w:sz w:val="24"/>
          <w:szCs w:val="24"/>
          <w:lang w:val="en-US"/>
        </w:rPr>
        <w:t xml:space="preserve">, 6, </w:t>
      </w:r>
      <w:r>
        <w:rPr>
          <w:sz w:val="24"/>
          <w:szCs w:val="24"/>
          <w:lang w:val="en-US"/>
        </w:rPr>
        <w:t>131-48.</w:t>
      </w:r>
    </w:p>
    <w:p w:rsidR="00315B1B" w:rsidRPr="00315B1B" w:rsidRDefault="00315B1B" w:rsidP="008A793E">
      <w:pPr>
        <w:spacing w:before="120" w:line="360" w:lineRule="auto"/>
        <w:ind w:left="567" w:hanging="567"/>
        <w:jc w:val="both"/>
        <w:rPr>
          <w:sz w:val="24"/>
          <w:szCs w:val="24"/>
          <w:lang w:val="en-US"/>
        </w:rPr>
      </w:pPr>
      <w:r w:rsidRPr="00315B1B">
        <w:rPr>
          <w:sz w:val="24"/>
          <w:szCs w:val="24"/>
          <w:lang w:val="en-US"/>
        </w:rPr>
        <w:t>Di Tella, Rafael and MacCulloch</w:t>
      </w:r>
      <w:r w:rsidR="003B49E6">
        <w:rPr>
          <w:sz w:val="24"/>
          <w:szCs w:val="24"/>
          <w:lang w:val="en-US"/>
        </w:rPr>
        <w:t xml:space="preserve">, </w:t>
      </w:r>
      <w:r w:rsidR="003B49E6" w:rsidRPr="00315B1B">
        <w:rPr>
          <w:sz w:val="24"/>
          <w:szCs w:val="24"/>
          <w:lang w:val="en-US"/>
        </w:rPr>
        <w:t>Robert</w:t>
      </w:r>
      <w:r w:rsidRPr="00315B1B">
        <w:rPr>
          <w:sz w:val="24"/>
          <w:szCs w:val="24"/>
          <w:lang w:val="en-US"/>
        </w:rPr>
        <w:t xml:space="preserve"> (2006)</w:t>
      </w:r>
      <w:r w:rsidR="009B6A62">
        <w:rPr>
          <w:sz w:val="24"/>
          <w:szCs w:val="24"/>
          <w:lang w:val="en-US"/>
        </w:rPr>
        <w:t>.</w:t>
      </w:r>
      <w:r w:rsidRPr="00315B1B">
        <w:rPr>
          <w:sz w:val="24"/>
          <w:szCs w:val="24"/>
          <w:lang w:val="en-US"/>
        </w:rPr>
        <w:t xml:space="preserve"> “Some </w:t>
      </w:r>
      <w:r w:rsidR="0098464C">
        <w:rPr>
          <w:sz w:val="24"/>
          <w:szCs w:val="24"/>
          <w:lang w:val="en-US"/>
        </w:rPr>
        <w:t>U</w:t>
      </w:r>
      <w:r w:rsidRPr="00315B1B">
        <w:rPr>
          <w:sz w:val="24"/>
          <w:szCs w:val="24"/>
          <w:lang w:val="en-US"/>
        </w:rPr>
        <w:t xml:space="preserve">ses of </w:t>
      </w:r>
      <w:r w:rsidR="0098464C">
        <w:rPr>
          <w:sz w:val="24"/>
          <w:szCs w:val="24"/>
          <w:lang w:val="en-US"/>
        </w:rPr>
        <w:t>H</w:t>
      </w:r>
      <w:r w:rsidRPr="00315B1B">
        <w:rPr>
          <w:sz w:val="24"/>
          <w:szCs w:val="24"/>
          <w:lang w:val="en-US"/>
        </w:rPr>
        <w:t xml:space="preserve">appiness </w:t>
      </w:r>
      <w:r w:rsidR="0098464C">
        <w:rPr>
          <w:sz w:val="24"/>
          <w:szCs w:val="24"/>
          <w:lang w:val="en-US"/>
        </w:rPr>
        <w:t>D</w:t>
      </w:r>
      <w:r w:rsidRPr="00315B1B">
        <w:rPr>
          <w:sz w:val="24"/>
          <w:szCs w:val="24"/>
          <w:lang w:val="en-US"/>
        </w:rPr>
        <w:t>ata in Economics</w:t>
      </w:r>
      <w:r w:rsidR="009B6A62">
        <w:rPr>
          <w:sz w:val="24"/>
          <w:szCs w:val="24"/>
          <w:lang w:val="en-US"/>
        </w:rPr>
        <w:t>.</w:t>
      </w:r>
      <w:r w:rsidRPr="00315B1B">
        <w:rPr>
          <w:sz w:val="24"/>
          <w:szCs w:val="24"/>
          <w:lang w:val="en-US"/>
        </w:rPr>
        <w:t xml:space="preserve">” </w:t>
      </w:r>
      <w:r w:rsidRPr="00315B1B">
        <w:rPr>
          <w:i/>
          <w:sz w:val="24"/>
          <w:szCs w:val="24"/>
          <w:lang w:val="en-US"/>
        </w:rPr>
        <w:t>Journal of Economic Perspectives</w:t>
      </w:r>
      <w:r w:rsidRPr="00315B1B">
        <w:rPr>
          <w:sz w:val="24"/>
          <w:szCs w:val="24"/>
          <w:lang w:val="en-US"/>
        </w:rPr>
        <w:t>, 20(1), 25-46.</w:t>
      </w:r>
    </w:p>
    <w:p w:rsidR="007E298A" w:rsidRDefault="00315B1B" w:rsidP="00BD001E">
      <w:pPr>
        <w:spacing w:before="120" w:line="360" w:lineRule="auto"/>
        <w:ind w:left="567" w:hanging="567"/>
        <w:jc w:val="both"/>
        <w:rPr>
          <w:sz w:val="24"/>
          <w:szCs w:val="24"/>
          <w:lang w:val="en-US"/>
        </w:rPr>
      </w:pPr>
      <w:r w:rsidRPr="00315B1B">
        <w:rPr>
          <w:sz w:val="24"/>
          <w:szCs w:val="24"/>
          <w:lang w:val="en-US"/>
        </w:rPr>
        <w:t>Easterlin, Richard (1974)</w:t>
      </w:r>
      <w:r w:rsidR="009B6A62">
        <w:rPr>
          <w:sz w:val="24"/>
          <w:szCs w:val="24"/>
          <w:lang w:val="en-US"/>
        </w:rPr>
        <w:t xml:space="preserve">. </w:t>
      </w:r>
      <w:r w:rsidRPr="00315B1B">
        <w:rPr>
          <w:sz w:val="24"/>
          <w:szCs w:val="24"/>
          <w:lang w:val="en-US"/>
        </w:rPr>
        <w:t xml:space="preserve">“Does </w:t>
      </w:r>
      <w:r w:rsidR="0098464C">
        <w:rPr>
          <w:sz w:val="24"/>
          <w:szCs w:val="24"/>
          <w:lang w:val="en-US"/>
        </w:rPr>
        <w:t>E</w:t>
      </w:r>
      <w:r w:rsidRPr="00315B1B">
        <w:rPr>
          <w:sz w:val="24"/>
          <w:szCs w:val="24"/>
          <w:lang w:val="en-US"/>
        </w:rPr>
        <w:t xml:space="preserve">conomic </w:t>
      </w:r>
      <w:r w:rsidR="0098464C">
        <w:rPr>
          <w:sz w:val="24"/>
          <w:szCs w:val="24"/>
          <w:lang w:val="en-US"/>
        </w:rPr>
        <w:t>G</w:t>
      </w:r>
      <w:r w:rsidRPr="00315B1B">
        <w:rPr>
          <w:sz w:val="24"/>
          <w:szCs w:val="24"/>
          <w:lang w:val="en-US"/>
        </w:rPr>
        <w:t xml:space="preserve">rowth </w:t>
      </w:r>
      <w:r w:rsidR="0098464C">
        <w:rPr>
          <w:sz w:val="24"/>
          <w:szCs w:val="24"/>
          <w:lang w:val="en-US"/>
        </w:rPr>
        <w:t>I</w:t>
      </w:r>
      <w:r w:rsidRPr="00315B1B">
        <w:rPr>
          <w:sz w:val="24"/>
          <w:szCs w:val="24"/>
          <w:lang w:val="en-US"/>
        </w:rPr>
        <w:t xml:space="preserve">mprove the </w:t>
      </w:r>
      <w:r w:rsidR="0098464C">
        <w:rPr>
          <w:sz w:val="24"/>
          <w:szCs w:val="24"/>
          <w:lang w:val="en-US"/>
        </w:rPr>
        <w:t>H</w:t>
      </w:r>
      <w:r w:rsidRPr="00315B1B">
        <w:rPr>
          <w:sz w:val="24"/>
          <w:szCs w:val="24"/>
          <w:lang w:val="en-US"/>
        </w:rPr>
        <w:t xml:space="preserve">uman </w:t>
      </w:r>
      <w:r w:rsidR="0098464C">
        <w:rPr>
          <w:sz w:val="24"/>
          <w:szCs w:val="24"/>
          <w:lang w:val="en-US"/>
        </w:rPr>
        <w:t>L</w:t>
      </w:r>
      <w:r w:rsidRPr="00315B1B">
        <w:rPr>
          <w:sz w:val="24"/>
          <w:szCs w:val="24"/>
          <w:lang w:val="en-US"/>
        </w:rPr>
        <w:t xml:space="preserve">ot? Some </w:t>
      </w:r>
      <w:r w:rsidR="0098464C">
        <w:rPr>
          <w:sz w:val="24"/>
          <w:szCs w:val="24"/>
          <w:lang w:val="en-US"/>
        </w:rPr>
        <w:t>E</w:t>
      </w:r>
      <w:r w:rsidRPr="00315B1B">
        <w:rPr>
          <w:sz w:val="24"/>
          <w:szCs w:val="24"/>
          <w:lang w:val="en-US"/>
        </w:rPr>
        <w:t xml:space="preserve">mpirical </w:t>
      </w:r>
      <w:r w:rsidR="0098464C">
        <w:rPr>
          <w:sz w:val="24"/>
          <w:szCs w:val="24"/>
          <w:lang w:val="en-US"/>
        </w:rPr>
        <w:t>E</w:t>
      </w:r>
      <w:r w:rsidRPr="00315B1B">
        <w:rPr>
          <w:sz w:val="24"/>
          <w:szCs w:val="24"/>
          <w:lang w:val="en-US"/>
        </w:rPr>
        <w:t>vidence,” in</w:t>
      </w:r>
      <w:r w:rsidR="009B6A62">
        <w:rPr>
          <w:sz w:val="24"/>
          <w:szCs w:val="24"/>
          <w:lang w:val="en-US"/>
        </w:rPr>
        <w:t xml:space="preserve"> </w:t>
      </w:r>
      <w:r w:rsidR="009B6A62" w:rsidRPr="00315B1B">
        <w:rPr>
          <w:sz w:val="24"/>
          <w:szCs w:val="24"/>
          <w:lang w:val="en-US"/>
        </w:rPr>
        <w:t>P. David and M</w:t>
      </w:r>
      <w:r w:rsidR="0098464C">
        <w:rPr>
          <w:sz w:val="24"/>
          <w:szCs w:val="24"/>
          <w:lang w:val="en-US"/>
        </w:rPr>
        <w:t>.</w:t>
      </w:r>
      <w:r w:rsidR="009B6A62" w:rsidRPr="00315B1B">
        <w:rPr>
          <w:sz w:val="24"/>
          <w:szCs w:val="24"/>
          <w:lang w:val="en-US"/>
        </w:rPr>
        <w:t xml:space="preserve"> Reder, eds.</w:t>
      </w:r>
      <w:r w:rsidR="009B6A62">
        <w:rPr>
          <w:sz w:val="24"/>
          <w:szCs w:val="24"/>
          <w:lang w:val="en-US"/>
        </w:rPr>
        <w:t>,</w:t>
      </w:r>
      <w:r w:rsidRPr="00315B1B">
        <w:rPr>
          <w:sz w:val="24"/>
          <w:szCs w:val="24"/>
          <w:lang w:val="en-US"/>
        </w:rPr>
        <w:t xml:space="preserve"> </w:t>
      </w:r>
      <w:r w:rsidRPr="00BD001E">
        <w:rPr>
          <w:sz w:val="24"/>
          <w:szCs w:val="24"/>
          <w:lang w:val="en-US"/>
        </w:rPr>
        <w:t>Nations and Households in Economic Growth: Essays in Honour of Moses Abramovitz</w:t>
      </w:r>
      <w:r w:rsidR="009B6A62">
        <w:rPr>
          <w:sz w:val="24"/>
          <w:szCs w:val="24"/>
          <w:lang w:val="en-US"/>
        </w:rPr>
        <w:t>.</w:t>
      </w:r>
      <w:r w:rsidRPr="00315B1B">
        <w:rPr>
          <w:sz w:val="24"/>
          <w:szCs w:val="24"/>
          <w:lang w:val="en-US"/>
        </w:rPr>
        <w:t xml:space="preserve"> New York and London: Academic Press, 98-125.</w:t>
      </w:r>
    </w:p>
    <w:p w:rsidR="00896D7C" w:rsidRDefault="00896D7C" w:rsidP="00896D7C">
      <w:pPr>
        <w:spacing w:before="120" w:line="360" w:lineRule="auto"/>
        <w:ind w:left="510" w:hanging="510"/>
        <w:jc w:val="both"/>
        <w:rPr>
          <w:sz w:val="24"/>
          <w:szCs w:val="24"/>
          <w:lang w:val="en-US"/>
        </w:rPr>
      </w:pPr>
      <w:r w:rsidRPr="00315B1B">
        <w:rPr>
          <w:sz w:val="24"/>
          <w:szCs w:val="24"/>
          <w:lang w:val="en-US"/>
        </w:rPr>
        <w:t>Frey, Bruno</w:t>
      </w:r>
      <w:r>
        <w:rPr>
          <w:sz w:val="24"/>
          <w:szCs w:val="24"/>
          <w:lang w:val="en-US"/>
        </w:rPr>
        <w:t xml:space="preserve"> S.</w:t>
      </w:r>
      <w:r w:rsidRPr="00315B1B">
        <w:rPr>
          <w:sz w:val="24"/>
          <w:szCs w:val="24"/>
          <w:lang w:val="en-US"/>
        </w:rPr>
        <w:t xml:space="preserve"> and Alois Stutzer (2002)</w:t>
      </w:r>
      <w:r>
        <w:rPr>
          <w:sz w:val="24"/>
          <w:szCs w:val="24"/>
          <w:lang w:val="en-US"/>
        </w:rPr>
        <w:t>.</w:t>
      </w:r>
      <w:r w:rsidRPr="00315B1B">
        <w:rPr>
          <w:sz w:val="24"/>
          <w:szCs w:val="24"/>
          <w:lang w:val="en-US"/>
        </w:rPr>
        <w:t xml:space="preserve"> “What can </w:t>
      </w:r>
      <w:r>
        <w:rPr>
          <w:sz w:val="24"/>
          <w:szCs w:val="24"/>
          <w:lang w:val="en-US"/>
        </w:rPr>
        <w:t>E</w:t>
      </w:r>
      <w:r w:rsidRPr="00315B1B">
        <w:rPr>
          <w:sz w:val="24"/>
          <w:szCs w:val="24"/>
          <w:lang w:val="en-US"/>
        </w:rPr>
        <w:t>conomists</w:t>
      </w:r>
      <w:r>
        <w:rPr>
          <w:sz w:val="24"/>
          <w:szCs w:val="24"/>
          <w:lang w:val="en-US"/>
        </w:rPr>
        <w:t xml:space="preserve"> Learn from Happiness Research?</w:t>
      </w:r>
      <w:r w:rsidRPr="00315B1B">
        <w:rPr>
          <w:sz w:val="24"/>
          <w:szCs w:val="24"/>
          <w:lang w:val="en-US"/>
        </w:rPr>
        <w:t xml:space="preserve">” </w:t>
      </w:r>
      <w:r w:rsidRPr="00315B1B">
        <w:rPr>
          <w:i/>
          <w:sz w:val="24"/>
          <w:szCs w:val="24"/>
          <w:lang w:val="en-US"/>
        </w:rPr>
        <w:t>Journal of Economic Literature</w:t>
      </w:r>
      <w:r w:rsidRPr="00315B1B">
        <w:rPr>
          <w:sz w:val="24"/>
          <w:szCs w:val="24"/>
          <w:lang w:val="en-US"/>
        </w:rPr>
        <w:t>, 40(2), 402-35</w:t>
      </w:r>
    </w:p>
    <w:p w:rsidR="00310079" w:rsidRDefault="00310079" w:rsidP="00BD001E">
      <w:pPr>
        <w:spacing w:before="120" w:line="360" w:lineRule="auto"/>
        <w:ind w:left="567" w:hanging="567"/>
        <w:jc w:val="both"/>
        <w:rPr>
          <w:sz w:val="24"/>
          <w:szCs w:val="24"/>
          <w:lang w:val="en-US"/>
        </w:rPr>
      </w:pPr>
      <w:r>
        <w:rPr>
          <w:sz w:val="24"/>
          <w:szCs w:val="24"/>
          <w:lang w:val="en-US"/>
        </w:rPr>
        <w:lastRenderedPageBreak/>
        <w:t>Finkelstein, Amy</w:t>
      </w:r>
      <w:r w:rsidR="003B49E6">
        <w:rPr>
          <w:sz w:val="24"/>
          <w:szCs w:val="24"/>
          <w:lang w:val="en-US"/>
        </w:rPr>
        <w:t xml:space="preserve">; Luttmer, Erzo </w:t>
      </w:r>
      <w:r>
        <w:rPr>
          <w:sz w:val="24"/>
          <w:szCs w:val="24"/>
          <w:lang w:val="en-US"/>
        </w:rPr>
        <w:t>and Notowidigdo</w:t>
      </w:r>
      <w:r w:rsidR="003B49E6">
        <w:rPr>
          <w:sz w:val="24"/>
          <w:szCs w:val="24"/>
          <w:lang w:val="en-US"/>
        </w:rPr>
        <w:t>, Matthew</w:t>
      </w:r>
      <w:r w:rsidR="00E67C31">
        <w:rPr>
          <w:sz w:val="24"/>
          <w:szCs w:val="24"/>
          <w:lang w:val="en-US"/>
        </w:rPr>
        <w:t xml:space="preserve"> (2008)</w:t>
      </w:r>
      <w:r w:rsidR="009B6A62">
        <w:rPr>
          <w:sz w:val="24"/>
          <w:szCs w:val="24"/>
          <w:lang w:val="en-US"/>
        </w:rPr>
        <w:t>.</w:t>
      </w:r>
      <w:r>
        <w:rPr>
          <w:sz w:val="24"/>
          <w:szCs w:val="24"/>
          <w:lang w:val="en-US"/>
        </w:rPr>
        <w:t xml:space="preserve"> </w:t>
      </w:r>
      <w:r w:rsidR="001B3E22">
        <w:rPr>
          <w:sz w:val="24"/>
          <w:szCs w:val="24"/>
          <w:lang w:val="en-US"/>
        </w:rPr>
        <w:t>“</w:t>
      </w:r>
      <w:r>
        <w:rPr>
          <w:sz w:val="24"/>
          <w:szCs w:val="24"/>
          <w:lang w:val="en-US"/>
        </w:rPr>
        <w:t xml:space="preserve">What </w:t>
      </w:r>
      <w:r w:rsidR="0098464C">
        <w:rPr>
          <w:sz w:val="24"/>
          <w:szCs w:val="24"/>
          <w:lang w:val="en-US"/>
        </w:rPr>
        <w:t>G</w:t>
      </w:r>
      <w:r>
        <w:rPr>
          <w:sz w:val="24"/>
          <w:szCs w:val="24"/>
          <w:lang w:val="en-US"/>
        </w:rPr>
        <w:t xml:space="preserve">ood is </w:t>
      </w:r>
      <w:r w:rsidR="0098464C">
        <w:rPr>
          <w:sz w:val="24"/>
          <w:szCs w:val="24"/>
          <w:lang w:val="en-US"/>
        </w:rPr>
        <w:t>W</w:t>
      </w:r>
      <w:r>
        <w:rPr>
          <w:sz w:val="24"/>
          <w:szCs w:val="24"/>
          <w:lang w:val="en-US"/>
        </w:rPr>
        <w:t xml:space="preserve">ealth </w:t>
      </w:r>
      <w:r w:rsidR="0098464C">
        <w:rPr>
          <w:sz w:val="24"/>
          <w:szCs w:val="24"/>
          <w:lang w:val="en-US"/>
        </w:rPr>
        <w:t>w</w:t>
      </w:r>
      <w:r>
        <w:rPr>
          <w:sz w:val="24"/>
          <w:szCs w:val="24"/>
          <w:lang w:val="en-US"/>
        </w:rPr>
        <w:t xml:space="preserve">ithout </w:t>
      </w:r>
      <w:r w:rsidR="0098464C">
        <w:rPr>
          <w:sz w:val="24"/>
          <w:szCs w:val="24"/>
          <w:lang w:val="en-US"/>
        </w:rPr>
        <w:t>H</w:t>
      </w:r>
      <w:r>
        <w:rPr>
          <w:sz w:val="24"/>
          <w:szCs w:val="24"/>
          <w:lang w:val="en-US"/>
        </w:rPr>
        <w:t xml:space="preserve">ealth? The </w:t>
      </w:r>
      <w:r w:rsidR="0098464C">
        <w:rPr>
          <w:sz w:val="24"/>
          <w:szCs w:val="24"/>
          <w:lang w:val="en-US"/>
        </w:rPr>
        <w:t>E</w:t>
      </w:r>
      <w:r>
        <w:rPr>
          <w:sz w:val="24"/>
          <w:szCs w:val="24"/>
          <w:lang w:val="en-US"/>
        </w:rPr>
        <w:t xml:space="preserve">ffect of </w:t>
      </w:r>
      <w:r w:rsidR="0098464C">
        <w:rPr>
          <w:sz w:val="24"/>
          <w:szCs w:val="24"/>
          <w:lang w:val="en-US"/>
        </w:rPr>
        <w:t>Healt</w:t>
      </w:r>
      <w:r>
        <w:rPr>
          <w:sz w:val="24"/>
          <w:szCs w:val="24"/>
          <w:lang w:val="en-US"/>
        </w:rPr>
        <w:t xml:space="preserve">h on the </w:t>
      </w:r>
      <w:r w:rsidR="0098464C">
        <w:rPr>
          <w:sz w:val="24"/>
          <w:szCs w:val="24"/>
          <w:lang w:val="en-US"/>
        </w:rPr>
        <w:t>M</w:t>
      </w:r>
      <w:r>
        <w:rPr>
          <w:sz w:val="24"/>
          <w:szCs w:val="24"/>
          <w:lang w:val="en-US"/>
        </w:rPr>
        <w:t xml:space="preserve">arginal </w:t>
      </w:r>
      <w:r w:rsidR="0098464C">
        <w:rPr>
          <w:sz w:val="24"/>
          <w:szCs w:val="24"/>
          <w:lang w:val="en-US"/>
        </w:rPr>
        <w:t>U</w:t>
      </w:r>
      <w:r>
        <w:rPr>
          <w:sz w:val="24"/>
          <w:szCs w:val="24"/>
          <w:lang w:val="en-US"/>
        </w:rPr>
        <w:t xml:space="preserve">tility of </w:t>
      </w:r>
      <w:r w:rsidR="0098464C">
        <w:rPr>
          <w:sz w:val="24"/>
          <w:szCs w:val="24"/>
          <w:lang w:val="en-US"/>
        </w:rPr>
        <w:t>C</w:t>
      </w:r>
      <w:r>
        <w:rPr>
          <w:sz w:val="24"/>
          <w:szCs w:val="24"/>
          <w:lang w:val="en-US"/>
        </w:rPr>
        <w:t>onsumption</w:t>
      </w:r>
      <w:r w:rsidR="009B6A62">
        <w:rPr>
          <w:sz w:val="24"/>
          <w:szCs w:val="24"/>
          <w:lang w:val="en-US"/>
        </w:rPr>
        <w:t>.</w:t>
      </w:r>
      <w:r w:rsidR="001B3E22">
        <w:rPr>
          <w:sz w:val="24"/>
          <w:szCs w:val="24"/>
          <w:lang w:val="en-US"/>
        </w:rPr>
        <w:t>”</w:t>
      </w:r>
      <w:r w:rsidR="00327537">
        <w:rPr>
          <w:sz w:val="24"/>
          <w:szCs w:val="24"/>
          <w:lang w:val="en-US"/>
        </w:rPr>
        <w:t xml:space="preserve"> NBER Working Paper No.</w:t>
      </w:r>
      <w:r>
        <w:rPr>
          <w:sz w:val="24"/>
          <w:szCs w:val="24"/>
          <w:lang w:val="en-US"/>
        </w:rPr>
        <w:t xml:space="preserve"> 14089</w:t>
      </w:r>
      <w:r w:rsidR="00327537">
        <w:rPr>
          <w:sz w:val="24"/>
          <w:szCs w:val="24"/>
          <w:lang w:val="en-US"/>
        </w:rPr>
        <w:t>, National Bureau of Economic Research</w:t>
      </w:r>
      <w:r>
        <w:rPr>
          <w:sz w:val="24"/>
          <w:szCs w:val="24"/>
          <w:lang w:val="en-US"/>
        </w:rPr>
        <w:t>.</w:t>
      </w:r>
    </w:p>
    <w:p w:rsidR="007E298A" w:rsidRDefault="007E298A" w:rsidP="008A793E">
      <w:pPr>
        <w:spacing w:before="120" w:line="360" w:lineRule="auto"/>
        <w:ind w:left="510" w:hanging="510"/>
        <w:jc w:val="both"/>
        <w:rPr>
          <w:sz w:val="24"/>
          <w:szCs w:val="24"/>
          <w:lang w:val="en-GB"/>
        </w:rPr>
      </w:pPr>
      <w:r w:rsidRPr="007E298A">
        <w:rPr>
          <w:sz w:val="24"/>
          <w:szCs w:val="24"/>
          <w:lang w:val="en-GB"/>
        </w:rPr>
        <w:t>Friend, Irwin, and Blume</w:t>
      </w:r>
      <w:r w:rsidR="003B49E6">
        <w:rPr>
          <w:sz w:val="24"/>
          <w:szCs w:val="24"/>
          <w:lang w:val="en-GB"/>
        </w:rPr>
        <w:t xml:space="preserve">, </w:t>
      </w:r>
      <w:r w:rsidR="003B49E6" w:rsidRPr="007E298A">
        <w:rPr>
          <w:sz w:val="24"/>
          <w:szCs w:val="24"/>
          <w:lang w:val="en-GB"/>
        </w:rPr>
        <w:t xml:space="preserve">Marshall </w:t>
      </w:r>
      <w:r w:rsidR="003B49E6">
        <w:rPr>
          <w:sz w:val="24"/>
          <w:szCs w:val="24"/>
          <w:lang w:val="en-GB"/>
        </w:rPr>
        <w:t xml:space="preserve">E. </w:t>
      </w:r>
      <w:r w:rsidRPr="007E298A">
        <w:rPr>
          <w:sz w:val="24"/>
          <w:szCs w:val="24"/>
          <w:lang w:val="en-GB"/>
        </w:rPr>
        <w:t>(1975)</w:t>
      </w:r>
      <w:r w:rsidR="009B6A62">
        <w:rPr>
          <w:sz w:val="24"/>
          <w:szCs w:val="24"/>
          <w:lang w:val="en-GB"/>
        </w:rPr>
        <w:t>.</w:t>
      </w:r>
      <w:r w:rsidRPr="007E298A">
        <w:rPr>
          <w:sz w:val="24"/>
          <w:szCs w:val="24"/>
          <w:lang w:val="en-GB"/>
        </w:rPr>
        <w:t xml:space="preserve"> “The </w:t>
      </w:r>
      <w:r w:rsidR="0098464C">
        <w:rPr>
          <w:sz w:val="24"/>
          <w:szCs w:val="24"/>
          <w:lang w:val="en-GB"/>
        </w:rPr>
        <w:t>D</w:t>
      </w:r>
      <w:r w:rsidRPr="007E298A">
        <w:rPr>
          <w:sz w:val="24"/>
          <w:szCs w:val="24"/>
          <w:lang w:val="en-GB"/>
        </w:rPr>
        <w:t xml:space="preserve">emand for </w:t>
      </w:r>
      <w:r w:rsidR="0098464C">
        <w:rPr>
          <w:sz w:val="24"/>
          <w:szCs w:val="24"/>
          <w:lang w:val="en-GB"/>
        </w:rPr>
        <w:t>R</w:t>
      </w:r>
      <w:r w:rsidRPr="007E298A">
        <w:rPr>
          <w:sz w:val="24"/>
          <w:szCs w:val="24"/>
          <w:lang w:val="en-GB"/>
        </w:rPr>
        <w:t xml:space="preserve">isky </w:t>
      </w:r>
      <w:r w:rsidR="0098464C">
        <w:rPr>
          <w:sz w:val="24"/>
          <w:szCs w:val="24"/>
          <w:lang w:val="en-GB"/>
        </w:rPr>
        <w:t>A</w:t>
      </w:r>
      <w:r w:rsidRPr="007E298A">
        <w:rPr>
          <w:sz w:val="24"/>
          <w:szCs w:val="24"/>
          <w:lang w:val="en-GB"/>
        </w:rPr>
        <w:t>ssets</w:t>
      </w:r>
      <w:r w:rsidR="009B6A62">
        <w:rPr>
          <w:sz w:val="24"/>
          <w:szCs w:val="24"/>
          <w:lang w:val="en-GB"/>
        </w:rPr>
        <w:t>.”</w:t>
      </w:r>
      <w:r w:rsidRPr="007E298A">
        <w:rPr>
          <w:sz w:val="24"/>
          <w:szCs w:val="24"/>
          <w:lang w:val="en-GB"/>
        </w:rPr>
        <w:t xml:space="preserve"> </w:t>
      </w:r>
      <w:r w:rsidRPr="007E298A">
        <w:rPr>
          <w:i/>
          <w:sz w:val="24"/>
          <w:szCs w:val="24"/>
          <w:lang w:val="en-GB"/>
        </w:rPr>
        <w:t>American Economic Review</w:t>
      </w:r>
      <w:r w:rsidR="0098464C">
        <w:rPr>
          <w:sz w:val="24"/>
          <w:szCs w:val="24"/>
          <w:lang w:val="en-GB"/>
        </w:rPr>
        <w:t>,</w:t>
      </w:r>
      <w:r w:rsidRPr="007E298A">
        <w:rPr>
          <w:sz w:val="24"/>
          <w:szCs w:val="24"/>
          <w:lang w:val="en-GB"/>
        </w:rPr>
        <w:t xml:space="preserve"> </w:t>
      </w:r>
      <w:r w:rsidRPr="0098464C">
        <w:rPr>
          <w:sz w:val="24"/>
          <w:szCs w:val="24"/>
          <w:lang w:val="en-GB"/>
        </w:rPr>
        <w:t>65</w:t>
      </w:r>
      <w:r w:rsidR="0098464C">
        <w:rPr>
          <w:sz w:val="24"/>
          <w:szCs w:val="24"/>
          <w:lang w:val="en-GB"/>
        </w:rPr>
        <w:t>(</w:t>
      </w:r>
      <w:r w:rsidR="00327537">
        <w:rPr>
          <w:sz w:val="24"/>
          <w:szCs w:val="24"/>
          <w:lang w:val="en-GB"/>
        </w:rPr>
        <w:t>5), 900-</w:t>
      </w:r>
      <w:r w:rsidRPr="007E298A">
        <w:rPr>
          <w:sz w:val="24"/>
          <w:szCs w:val="24"/>
          <w:lang w:val="en-GB"/>
        </w:rPr>
        <w:t>22.</w:t>
      </w:r>
    </w:p>
    <w:p w:rsidR="00896D7C" w:rsidRDefault="00E67C31" w:rsidP="00896D7C">
      <w:pPr>
        <w:spacing w:before="120" w:line="360" w:lineRule="auto"/>
        <w:ind w:left="510" w:hanging="510"/>
        <w:jc w:val="both"/>
        <w:rPr>
          <w:sz w:val="24"/>
          <w:szCs w:val="24"/>
          <w:lang w:val="en-US"/>
        </w:rPr>
      </w:pPr>
      <w:r>
        <w:rPr>
          <w:sz w:val="24"/>
          <w:szCs w:val="24"/>
          <w:lang w:val="en-US"/>
        </w:rPr>
        <w:t>Garcí</w:t>
      </w:r>
      <w:r w:rsidR="00896D7C" w:rsidRPr="00577317">
        <w:rPr>
          <w:sz w:val="24"/>
          <w:szCs w:val="24"/>
          <w:lang w:val="en-US"/>
        </w:rPr>
        <w:t>a, Rene</w:t>
      </w:r>
      <w:r w:rsidR="00896D7C">
        <w:rPr>
          <w:sz w:val="24"/>
          <w:szCs w:val="24"/>
          <w:lang w:val="en-US"/>
        </w:rPr>
        <w:t>;</w:t>
      </w:r>
      <w:r w:rsidR="00896D7C" w:rsidRPr="00577317">
        <w:rPr>
          <w:sz w:val="24"/>
          <w:szCs w:val="24"/>
          <w:lang w:val="en-US"/>
        </w:rPr>
        <w:t xml:space="preserve"> Luger, Richard and Renault, Eric (2003)</w:t>
      </w:r>
      <w:r w:rsidR="00896D7C">
        <w:rPr>
          <w:sz w:val="24"/>
          <w:szCs w:val="24"/>
          <w:lang w:val="en-US"/>
        </w:rPr>
        <w:t>.</w:t>
      </w:r>
      <w:r w:rsidR="00896D7C" w:rsidRPr="00577317">
        <w:rPr>
          <w:sz w:val="24"/>
          <w:szCs w:val="24"/>
          <w:lang w:val="en-US"/>
        </w:rPr>
        <w:t xml:space="preserve"> </w:t>
      </w:r>
      <w:r w:rsidR="00896D7C">
        <w:rPr>
          <w:sz w:val="24"/>
          <w:szCs w:val="24"/>
          <w:lang w:val="en-US"/>
        </w:rPr>
        <w:t>“</w:t>
      </w:r>
      <w:r w:rsidR="00896D7C" w:rsidRPr="00577317">
        <w:rPr>
          <w:sz w:val="24"/>
          <w:szCs w:val="24"/>
          <w:lang w:val="en-US"/>
        </w:rPr>
        <w:t xml:space="preserve">Empirical </w:t>
      </w:r>
      <w:r w:rsidR="00896D7C">
        <w:rPr>
          <w:sz w:val="24"/>
          <w:szCs w:val="24"/>
          <w:lang w:val="en-US"/>
        </w:rPr>
        <w:t>A</w:t>
      </w:r>
      <w:r w:rsidR="00896D7C" w:rsidRPr="00577317">
        <w:rPr>
          <w:sz w:val="24"/>
          <w:szCs w:val="24"/>
          <w:lang w:val="en-US"/>
        </w:rPr>
        <w:t xml:space="preserve">ssessment of an </w:t>
      </w:r>
      <w:r w:rsidR="00896D7C">
        <w:rPr>
          <w:sz w:val="24"/>
          <w:szCs w:val="24"/>
          <w:lang w:val="en-US"/>
        </w:rPr>
        <w:t>I</w:t>
      </w:r>
      <w:r w:rsidR="00896D7C" w:rsidRPr="00577317">
        <w:rPr>
          <w:sz w:val="24"/>
          <w:szCs w:val="24"/>
          <w:lang w:val="en-US"/>
        </w:rPr>
        <w:t xml:space="preserve">ntertemporal </w:t>
      </w:r>
      <w:r w:rsidR="00896D7C">
        <w:rPr>
          <w:sz w:val="24"/>
          <w:szCs w:val="24"/>
          <w:lang w:val="en-US"/>
        </w:rPr>
        <w:t>O</w:t>
      </w:r>
      <w:r w:rsidR="00896D7C" w:rsidRPr="00577317">
        <w:rPr>
          <w:sz w:val="24"/>
          <w:szCs w:val="24"/>
          <w:lang w:val="en-US"/>
        </w:rPr>
        <w:t xml:space="preserve">ption </w:t>
      </w:r>
      <w:r w:rsidR="00896D7C">
        <w:rPr>
          <w:sz w:val="24"/>
          <w:szCs w:val="24"/>
          <w:lang w:val="en-US"/>
        </w:rPr>
        <w:t>P</w:t>
      </w:r>
      <w:r w:rsidR="00896D7C" w:rsidRPr="00577317">
        <w:rPr>
          <w:sz w:val="24"/>
          <w:szCs w:val="24"/>
          <w:lang w:val="en-US"/>
        </w:rPr>
        <w:t xml:space="preserve">ricing </w:t>
      </w:r>
      <w:r w:rsidR="00896D7C">
        <w:rPr>
          <w:sz w:val="24"/>
          <w:szCs w:val="24"/>
          <w:lang w:val="en-US"/>
        </w:rPr>
        <w:t>M</w:t>
      </w:r>
      <w:r w:rsidR="00896D7C" w:rsidRPr="00577317">
        <w:rPr>
          <w:sz w:val="24"/>
          <w:szCs w:val="24"/>
          <w:lang w:val="en-US"/>
        </w:rPr>
        <w:t xml:space="preserve">odel with </w:t>
      </w:r>
      <w:r w:rsidR="00896D7C">
        <w:rPr>
          <w:sz w:val="24"/>
          <w:szCs w:val="24"/>
          <w:lang w:val="en-US"/>
        </w:rPr>
        <w:t>L</w:t>
      </w:r>
      <w:r w:rsidR="00896D7C" w:rsidRPr="00577317">
        <w:rPr>
          <w:sz w:val="24"/>
          <w:szCs w:val="24"/>
          <w:lang w:val="en-US"/>
        </w:rPr>
        <w:t xml:space="preserve">atent </w:t>
      </w:r>
      <w:r w:rsidR="00896D7C">
        <w:rPr>
          <w:sz w:val="24"/>
          <w:szCs w:val="24"/>
          <w:lang w:val="en-US"/>
        </w:rPr>
        <w:t>V</w:t>
      </w:r>
      <w:r w:rsidR="00896D7C" w:rsidRPr="00577317">
        <w:rPr>
          <w:sz w:val="24"/>
          <w:szCs w:val="24"/>
          <w:lang w:val="en-US"/>
        </w:rPr>
        <w:t>ariables</w:t>
      </w:r>
      <w:r w:rsidR="00896D7C">
        <w:rPr>
          <w:sz w:val="24"/>
          <w:szCs w:val="24"/>
          <w:lang w:val="en-US"/>
        </w:rPr>
        <w:t>.”</w:t>
      </w:r>
      <w:r w:rsidR="00896D7C" w:rsidRPr="00577317">
        <w:rPr>
          <w:sz w:val="24"/>
          <w:szCs w:val="24"/>
          <w:lang w:val="en-US"/>
        </w:rPr>
        <w:t xml:space="preserve"> </w:t>
      </w:r>
      <w:r w:rsidR="00896D7C" w:rsidRPr="00BF6A03">
        <w:rPr>
          <w:i/>
          <w:sz w:val="24"/>
          <w:szCs w:val="24"/>
          <w:lang w:val="en-US"/>
        </w:rPr>
        <w:t>Journal of Econometrics</w:t>
      </w:r>
      <w:r w:rsidR="00896D7C" w:rsidRPr="00577317">
        <w:rPr>
          <w:sz w:val="24"/>
          <w:szCs w:val="24"/>
          <w:lang w:val="en-US"/>
        </w:rPr>
        <w:t>, 116(1-2), 49-83.</w:t>
      </w:r>
    </w:p>
    <w:p w:rsidR="00B211FD" w:rsidRPr="00577317" w:rsidRDefault="00B211FD" w:rsidP="00896D7C">
      <w:pPr>
        <w:spacing w:before="120" w:line="360" w:lineRule="auto"/>
        <w:ind w:left="510" w:hanging="510"/>
        <w:jc w:val="both"/>
        <w:rPr>
          <w:sz w:val="24"/>
          <w:szCs w:val="24"/>
          <w:lang w:val="en-US"/>
        </w:rPr>
      </w:pPr>
      <w:r>
        <w:rPr>
          <w:sz w:val="24"/>
          <w:szCs w:val="24"/>
          <w:lang w:val="en-US"/>
        </w:rPr>
        <w:t>Gandelman, N</w:t>
      </w:r>
      <w:r w:rsidR="00E67C31">
        <w:rPr>
          <w:sz w:val="24"/>
          <w:szCs w:val="24"/>
          <w:lang w:val="en-US"/>
        </w:rPr>
        <w:t>é</w:t>
      </w:r>
      <w:r>
        <w:rPr>
          <w:sz w:val="24"/>
          <w:szCs w:val="24"/>
          <w:lang w:val="en-US"/>
        </w:rPr>
        <w:t>stor and Porzecanski, Rafael (2011). “Happ</w:t>
      </w:r>
      <w:r w:rsidR="00E67C31">
        <w:rPr>
          <w:sz w:val="24"/>
          <w:szCs w:val="24"/>
          <w:lang w:val="en-US"/>
        </w:rPr>
        <w:t>i</w:t>
      </w:r>
      <w:r>
        <w:rPr>
          <w:sz w:val="24"/>
          <w:szCs w:val="24"/>
          <w:lang w:val="en-US"/>
        </w:rPr>
        <w:t xml:space="preserve">ness Inequality: How Much is Reasonable?” </w:t>
      </w:r>
      <w:r w:rsidRPr="00B211FD">
        <w:rPr>
          <w:i/>
          <w:sz w:val="24"/>
          <w:szCs w:val="24"/>
          <w:lang w:val="en-US"/>
        </w:rPr>
        <w:t>Social Indicators Research</w:t>
      </w:r>
      <w:r>
        <w:rPr>
          <w:sz w:val="24"/>
          <w:szCs w:val="24"/>
          <w:lang w:val="en-US"/>
        </w:rPr>
        <w:t xml:space="preserve"> (forthcoming).</w:t>
      </w:r>
      <w:r w:rsidR="00D91AE2">
        <w:rPr>
          <w:sz w:val="24"/>
          <w:szCs w:val="24"/>
          <w:lang w:val="en-US"/>
        </w:rPr>
        <w:t xml:space="preserve"> Published online</w:t>
      </w:r>
      <w:r w:rsidR="005019F5">
        <w:rPr>
          <w:sz w:val="24"/>
          <w:szCs w:val="24"/>
          <w:lang w:val="en-US"/>
        </w:rPr>
        <w:t xml:space="preserve"> First 06 September 201, doi</w:t>
      </w:r>
      <w:r w:rsidR="005019F5" w:rsidRPr="005019F5">
        <w:rPr>
          <w:sz w:val="24"/>
          <w:szCs w:val="24"/>
          <w:lang w:val="en-US"/>
        </w:rPr>
        <w:t xml:space="preserve"> 10.1007/s11205-011-9929-z</w:t>
      </w:r>
      <w:r w:rsidR="005019F5">
        <w:rPr>
          <w:sz w:val="24"/>
          <w:szCs w:val="24"/>
          <w:lang w:val="en-US"/>
        </w:rPr>
        <w:t>.</w:t>
      </w:r>
    </w:p>
    <w:p w:rsidR="00896D7C" w:rsidRPr="00577317" w:rsidRDefault="00896D7C" w:rsidP="00896D7C">
      <w:pPr>
        <w:spacing w:before="120" w:line="360" w:lineRule="auto"/>
        <w:ind w:left="510" w:hanging="510"/>
        <w:jc w:val="both"/>
        <w:rPr>
          <w:sz w:val="24"/>
          <w:szCs w:val="24"/>
          <w:lang w:val="en-US"/>
        </w:rPr>
      </w:pPr>
      <w:r w:rsidRPr="00577317">
        <w:rPr>
          <w:sz w:val="24"/>
          <w:szCs w:val="24"/>
          <w:lang w:val="en-US"/>
        </w:rPr>
        <w:t>Gordon</w:t>
      </w:r>
      <w:r w:rsidR="00F202FC">
        <w:rPr>
          <w:sz w:val="24"/>
          <w:szCs w:val="24"/>
          <w:lang w:val="en-US"/>
        </w:rPr>
        <w:t>,</w:t>
      </w:r>
      <w:r w:rsidRPr="00577317">
        <w:rPr>
          <w:sz w:val="24"/>
          <w:szCs w:val="24"/>
          <w:lang w:val="en-US"/>
        </w:rPr>
        <w:t xml:space="preserve"> S</w:t>
      </w:r>
      <w:r>
        <w:rPr>
          <w:sz w:val="24"/>
          <w:szCs w:val="24"/>
          <w:lang w:val="en-US"/>
        </w:rPr>
        <w:t>tephen</w:t>
      </w:r>
      <w:r w:rsidRPr="00577317">
        <w:rPr>
          <w:sz w:val="24"/>
          <w:szCs w:val="24"/>
          <w:lang w:val="en-US"/>
        </w:rPr>
        <w:t xml:space="preserve"> </w:t>
      </w:r>
      <w:r>
        <w:rPr>
          <w:sz w:val="24"/>
          <w:szCs w:val="24"/>
          <w:lang w:val="en-US"/>
        </w:rPr>
        <w:t>and</w:t>
      </w:r>
      <w:r w:rsidRPr="00577317">
        <w:rPr>
          <w:sz w:val="24"/>
          <w:szCs w:val="24"/>
          <w:lang w:val="en-US"/>
        </w:rPr>
        <w:t xml:space="preserve"> St-Amour</w:t>
      </w:r>
      <w:r>
        <w:rPr>
          <w:sz w:val="24"/>
          <w:szCs w:val="24"/>
          <w:lang w:val="en-US"/>
        </w:rPr>
        <w:t>,</w:t>
      </w:r>
      <w:r w:rsidRPr="00577317">
        <w:rPr>
          <w:sz w:val="24"/>
          <w:szCs w:val="24"/>
          <w:lang w:val="en-US"/>
        </w:rPr>
        <w:t xml:space="preserve"> P</w:t>
      </w:r>
      <w:r>
        <w:rPr>
          <w:sz w:val="24"/>
          <w:szCs w:val="24"/>
          <w:lang w:val="en-US"/>
        </w:rPr>
        <w:t>ascal</w:t>
      </w:r>
      <w:r w:rsidRPr="00577317">
        <w:rPr>
          <w:sz w:val="24"/>
          <w:szCs w:val="24"/>
          <w:lang w:val="en-US"/>
        </w:rPr>
        <w:t xml:space="preserve"> (2004). </w:t>
      </w:r>
      <w:r>
        <w:rPr>
          <w:sz w:val="24"/>
          <w:szCs w:val="24"/>
          <w:lang w:val="en-US"/>
        </w:rPr>
        <w:t>“</w:t>
      </w:r>
      <w:r w:rsidRPr="00577317">
        <w:rPr>
          <w:sz w:val="24"/>
          <w:szCs w:val="24"/>
          <w:lang w:val="en-US"/>
        </w:rPr>
        <w:t>Asset Returns and State-Dependent Risk Preferences</w:t>
      </w:r>
      <w:r>
        <w:rPr>
          <w:sz w:val="24"/>
          <w:szCs w:val="24"/>
          <w:lang w:val="en-US"/>
        </w:rPr>
        <w:t>.”</w:t>
      </w:r>
      <w:r w:rsidRPr="00577317">
        <w:rPr>
          <w:sz w:val="24"/>
          <w:szCs w:val="24"/>
          <w:lang w:val="en-US"/>
        </w:rPr>
        <w:t xml:space="preserve"> </w:t>
      </w:r>
      <w:r w:rsidRPr="00BF6A03">
        <w:rPr>
          <w:i/>
          <w:sz w:val="24"/>
          <w:szCs w:val="24"/>
          <w:lang w:val="en-US"/>
        </w:rPr>
        <w:t>Journal of Business &amp; Economic Statistics</w:t>
      </w:r>
      <w:r w:rsidRPr="00577317">
        <w:rPr>
          <w:sz w:val="24"/>
          <w:szCs w:val="24"/>
          <w:lang w:val="en-US"/>
        </w:rPr>
        <w:t>, 22</w:t>
      </w:r>
      <w:r>
        <w:rPr>
          <w:sz w:val="24"/>
          <w:szCs w:val="24"/>
          <w:lang w:val="en-US"/>
        </w:rPr>
        <w:t>(3)</w:t>
      </w:r>
      <w:r w:rsidRPr="00577317">
        <w:rPr>
          <w:sz w:val="24"/>
          <w:szCs w:val="24"/>
          <w:lang w:val="en-US"/>
        </w:rPr>
        <w:t>, 241-52</w:t>
      </w:r>
      <w:r>
        <w:rPr>
          <w:sz w:val="24"/>
          <w:szCs w:val="24"/>
          <w:lang w:val="en-US"/>
        </w:rPr>
        <w:t>.</w:t>
      </w:r>
    </w:p>
    <w:p w:rsidR="00315B1B" w:rsidRDefault="00315B1B" w:rsidP="008A793E">
      <w:pPr>
        <w:spacing w:before="120" w:line="360" w:lineRule="auto"/>
        <w:ind w:left="510" w:hanging="510"/>
        <w:jc w:val="both"/>
        <w:rPr>
          <w:sz w:val="24"/>
          <w:szCs w:val="24"/>
          <w:lang w:val="en-US"/>
        </w:rPr>
      </w:pPr>
      <w:r w:rsidRPr="00315B1B">
        <w:rPr>
          <w:sz w:val="24"/>
          <w:szCs w:val="24"/>
          <w:lang w:val="en-US"/>
        </w:rPr>
        <w:t>Hansen, L</w:t>
      </w:r>
      <w:r w:rsidR="00327537">
        <w:rPr>
          <w:sz w:val="24"/>
          <w:szCs w:val="24"/>
          <w:lang w:val="en-US"/>
        </w:rPr>
        <w:t>ars Peter</w:t>
      </w:r>
      <w:r w:rsidRPr="00315B1B">
        <w:rPr>
          <w:sz w:val="24"/>
          <w:szCs w:val="24"/>
          <w:lang w:val="en-US"/>
        </w:rPr>
        <w:t xml:space="preserve"> and Singleton</w:t>
      </w:r>
      <w:r w:rsidR="00780D6B">
        <w:rPr>
          <w:sz w:val="24"/>
          <w:szCs w:val="24"/>
          <w:lang w:val="en-US"/>
        </w:rPr>
        <w:t xml:space="preserve">, </w:t>
      </w:r>
      <w:r w:rsidR="00780D6B" w:rsidRPr="00315B1B">
        <w:rPr>
          <w:sz w:val="24"/>
          <w:szCs w:val="24"/>
          <w:lang w:val="en-US"/>
        </w:rPr>
        <w:t>K</w:t>
      </w:r>
      <w:r w:rsidR="00780D6B">
        <w:rPr>
          <w:sz w:val="24"/>
          <w:szCs w:val="24"/>
          <w:lang w:val="en-US"/>
        </w:rPr>
        <w:t>enneth J.</w:t>
      </w:r>
      <w:r w:rsidR="00780D6B" w:rsidRPr="00315B1B">
        <w:rPr>
          <w:sz w:val="24"/>
          <w:szCs w:val="24"/>
          <w:lang w:val="en-US"/>
        </w:rPr>
        <w:t xml:space="preserve"> </w:t>
      </w:r>
      <w:r w:rsidRPr="00315B1B">
        <w:rPr>
          <w:sz w:val="24"/>
          <w:szCs w:val="24"/>
          <w:lang w:val="en-US"/>
        </w:rPr>
        <w:t xml:space="preserve"> (1983)</w:t>
      </w:r>
      <w:r w:rsidR="009B6A62">
        <w:rPr>
          <w:sz w:val="24"/>
          <w:szCs w:val="24"/>
          <w:lang w:val="en-US"/>
        </w:rPr>
        <w:t>.</w:t>
      </w:r>
      <w:r w:rsidRPr="00315B1B">
        <w:rPr>
          <w:sz w:val="24"/>
          <w:szCs w:val="24"/>
          <w:lang w:val="en-US"/>
        </w:rPr>
        <w:t xml:space="preserve"> </w:t>
      </w:r>
      <w:r w:rsidR="001B3E22">
        <w:rPr>
          <w:sz w:val="24"/>
          <w:szCs w:val="24"/>
          <w:lang w:val="en-US"/>
        </w:rPr>
        <w:t>“</w:t>
      </w:r>
      <w:r w:rsidRPr="00315B1B">
        <w:rPr>
          <w:sz w:val="24"/>
          <w:szCs w:val="24"/>
          <w:lang w:val="en-US"/>
        </w:rPr>
        <w:t>Stochastic Consumption, Risk Aversion and the Temporal Behavior of Asset Returns</w:t>
      </w:r>
      <w:r w:rsidR="009B6A62">
        <w:rPr>
          <w:sz w:val="24"/>
          <w:szCs w:val="24"/>
          <w:lang w:val="en-US"/>
        </w:rPr>
        <w:t>.</w:t>
      </w:r>
      <w:r w:rsidR="001B3E22">
        <w:rPr>
          <w:sz w:val="24"/>
          <w:szCs w:val="24"/>
          <w:lang w:val="en-US"/>
        </w:rPr>
        <w:t>”</w:t>
      </w:r>
      <w:r w:rsidRPr="00315B1B">
        <w:rPr>
          <w:i/>
          <w:sz w:val="24"/>
          <w:szCs w:val="24"/>
          <w:lang w:val="en-US"/>
        </w:rPr>
        <w:t xml:space="preserve"> Journal of Political Economy</w:t>
      </w:r>
      <w:r w:rsidR="00327537">
        <w:rPr>
          <w:sz w:val="24"/>
          <w:szCs w:val="24"/>
          <w:lang w:val="en-US"/>
        </w:rPr>
        <w:t>, 91(2), 249-</w:t>
      </w:r>
      <w:r w:rsidRPr="00315B1B">
        <w:rPr>
          <w:sz w:val="24"/>
          <w:szCs w:val="24"/>
          <w:lang w:val="en-US"/>
        </w:rPr>
        <w:t>65.</w:t>
      </w:r>
    </w:p>
    <w:p w:rsidR="00896D7C" w:rsidRDefault="00896D7C" w:rsidP="00896D7C">
      <w:pPr>
        <w:spacing w:before="120" w:line="360" w:lineRule="auto"/>
        <w:ind w:left="510" w:hanging="510"/>
        <w:jc w:val="both"/>
        <w:rPr>
          <w:sz w:val="24"/>
          <w:szCs w:val="24"/>
          <w:lang w:val="en-US"/>
        </w:rPr>
      </w:pPr>
      <w:r w:rsidRPr="00577317">
        <w:rPr>
          <w:sz w:val="24"/>
          <w:szCs w:val="24"/>
          <w:lang w:val="en-US"/>
        </w:rPr>
        <w:t>Holt, Charles</w:t>
      </w:r>
      <w:r>
        <w:rPr>
          <w:sz w:val="24"/>
          <w:szCs w:val="24"/>
          <w:lang w:val="en-US"/>
        </w:rPr>
        <w:t xml:space="preserve"> A.</w:t>
      </w:r>
      <w:r w:rsidRPr="00577317">
        <w:rPr>
          <w:sz w:val="24"/>
          <w:szCs w:val="24"/>
          <w:lang w:val="en-US"/>
        </w:rPr>
        <w:t xml:space="preserve"> and Laury</w:t>
      </w:r>
      <w:r>
        <w:rPr>
          <w:sz w:val="24"/>
          <w:szCs w:val="24"/>
          <w:lang w:val="en-US"/>
        </w:rPr>
        <w:t xml:space="preserve">, </w:t>
      </w:r>
      <w:r w:rsidRPr="00577317">
        <w:rPr>
          <w:sz w:val="24"/>
          <w:szCs w:val="24"/>
          <w:lang w:val="en-US"/>
        </w:rPr>
        <w:t>Susan K.  (2002)</w:t>
      </w:r>
      <w:r>
        <w:rPr>
          <w:sz w:val="24"/>
          <w:szCs w:val="24"/>
          <w:lang w:val="en-US"/>
        </w:rPr>
        <w:t>.</w:t>
      </w:r>
      <w:r w:rsidRPr="00577317">
        <w:rPr>
          <w:sz w:val="24"/>
          <w:szCs w:val="24"/>
          <w:lang w:val="en-US"/>
        </w:rPr>
        <w:t xml:space="preserve"> </w:t>
      </w:r>
      <w:r>
        <w:rPr>
          <w:sz w:val="24"/>
          <w:szCs w:val="24"/>
          <w:lang w:val="en-US"/>
        </w:rPr>
        <w:t>“</w:t>
      </w:r>
      <w:r w:rsidRPr="00577317">
        <w:rPr>
          <w:sz w:val="24"/>
          <w:szCs w:val="24"/>
          <w:lang w:val="en-US"/>
        </w:rPr>
        <w:t>Risk Aversion and Incentive Effects</w:t>
      </w:r>
      <w:r>
        <w:rPr>
          <w:sz w:val="24"/>
          <w:szCs w:val="24"/>
          <w:lang w:val="en-US"/>
        </w:rPr>
        <w:t>.”</w:t>
      </w:r>
      <w:r w:rsidRPr="00577317">
        <w:rPr>
          <w:sz w:val="24"/>
          <w:szCs w:val="24"/>
          <w:lang w:val="en-US"/>
        </w:rPr>
        <w:t xml:space="preserve"> </w:t>
      </w:r>
      <w:r w:rsidRPr="00BF6A03">
        <w:rPr>
          <w:i/>
          <w:sz w:val="24"/>
          <w:szCs w:val="24"/>
          <w:lang w:val="en-US"/>
        </w:rPr>
        <w:t>American Economic Review</w:t>
      </w:r>
      <w:r w:rsidRPr="00577317">
        <w:rPr>
          <w:sz w:val="24"/>
          <w:szCs w:val="24"/>
          <w:lang w:val="en-US"/>
        </w:rPr>
        <w:t>, 92(5), p</w:t>
      </w:r>
      <w:r>
        <w:rPr>
          <w:sz w:val="24"/>
          <w:szCs w:val="24"/>
          <w:lang w:val="en-US"/>
        </w:rPr>
        <w:t>p.</w:t>
      </w:r>
      <w:r w:rsidRPr="00577317">
        <w:rPr>
          <w:sz w:val="24"/>
          <w:szCs w:val="24"/>
          <w:lang w:val="en-US"/>
        </w:rPr>
        <w:t xml:space="preserve"> 1644-55.</w:t>
      </w:r>
    </w:p>
    <w:p w:rsidR="00DE2587" w:rsidRPr="00315B1B" w:rsidRDefault="00DE2587" w:rsidP="008A793E">
      <w:pPr>
        <w:spacing w:before="120" w:line="360" w:lineRule="auto"/>
        <w:ind w:left="510" w:hanging="510"/>
        <w:jc w:val="both"/>
        <w:rPr>
          <w:sz w:val="24"/>
          <w:szCs w:val="24"/>
          <w:lang w:val="en-US"/>
        </w:rPr>
      </w:pPr>
      <w:r>
        <w:rPr>
          <w:sz w:val="24"/>
          <w:szCs w:val="24"/>
          <w:lang w:val="en-US"/>
        </w:rPr>
        <w:t xml:space="preserve">Layard, Richard; Mayraz, Guy and Nickell, Stephen Johm (2008). “The Marginal Utility of Income.” </w:t>
      </w:r>
      <w:r w:rsidRPr="00DE2587">
        <w:rPr>
          <w:i/>
          <w:sz w:val="24"/>
          <w:szCs w:val="24"/>
          <w:lang w:val="en-US"/>
        </w:rPr>
        <w:t>Journal of Public Economics</w:t>
      </w:r>
      <w:r>
        <w:rPr>
          <w:sz w:val="24"/>
          <w:szCs w:val="24"/>
          <w:lang w:val="en-US"/>
        </w:rPr>
        <w:t xml:space="preserve">, 92(8-9), 1846-57. </w:t>
      </w:r>
    </w:p>
    <w:p w:rsidR="007E298A" w:rsidRDefault="007E298A" w:rsidP="008A793E">
      <w:pPr>
        <w:spacing w:before="120" w:line="360" w:lineRule="auto"/>
        <w:ind w:left="510" w:hanging="510"/>
        <w:jc w:val="both"/>
        <w:rPr>
          <w:sz w:val="24"/>
          <w:szCs w:val="24"/>
          <w:lang w:val="en-GB"/>
        </w:rPr>
      </w:pPr>
      <w:r w:rsidRPr="007E298A">
        <w:rPr>
          <w:sz w:val="24"/>
          <w:szCs w:val="24"/>
          <w:lang w:val="en-GB"/>
        </w:rPr>
        <w:t>Levy, Haim (1994)</w:t>
      </w:r>
      <w:r w:rsidR="009B6A62">
        <w:rPr>
          <w:sz w:val="24"/>
          <w:szCs w:val="24"/>
          <w:lang w:val="en-GB"/>
        </w:rPr>
        <w:t>.</w:t>
      </w:r>
      <w:r w:rsidRPr="007E298A">
        <w:rPr>
          <w:sz w:val="24"/>
          <w:szCs w:val="24"/>
          <w:lang w:val="en-GB"/>
        </w:rPr>
        <w:t xml:space="preserve"> “Absolute and </w:t>
      </w:r>
      <w:r w:rsidR="003B49E6">
        <w:rPr>
          <w:sz w:val="24"/>
          <w:szCs w:val="24"/>
          <w:lang w:val="en-GB"/>
        </w:rPr>
        <w:t>R</w:t>
      </w:r>
      <w:r w:rsidRPr="007E298A">
        <w:rPr>
          <w:sz w:val="24"/>
          <w:szCs w:val="24"/>
          <w:lang w:val="en-GB"/>
        </w:rPr>
        <w:t xml:space="preserve">elative </w:t>
      </w:r>
      <w:r w:rsidR="003B49E6">
        <w:rPr>
          <w:sz w:val="24"/>
          <w:szCs w:val="24"/>
          <w:lang w:val="en-GB"/>
        </w:rPr>
        <w:t>R</w:t>
      </w:r>
      <w:r w:rsidRPr="007E298A">
        <w:rPr>
          <w:sz w:val="24"/>
          <w:szCs w:val="24"/>
          <w:lang w:val="en-GB"/>
        </w:rPr>
        <w:t xml:space="preserve">isk </w:t>
      </w:r>
      <w:r w:rsidR="003B49E6">
        <w:rPr>
          <w:sz w:val="24"/>
          <w:szCs w:val="24"/>
          <w:lang w:val="en-GB"/>
        </w:rPr>
        <w:t>A</w:t>
      </w:r>
      <w:r w:rsidRPr="007E298A">
        <w:rPr>
          <w:sz w:val="24"/>
          <w:szCs w:val="24"/>
          <w:lang w:val="en-GB"/>
        </w:rPr>
        <w:t xml:space="preserve">version: An </w:t>
      </w:r>
      <w:r w:rsidR="003B49E6">
        <w:rPr>
          <w:sz w:val="24"/>
          <w:szCs w:val="24"/>
          <w:lang w:val="en-GB"/>
        </w:rPr>
        <w:t>E</w:t>
      </w:r>
      <w:r w:rsidRPr="007E298A">
        <w:rPr>
          <w:sz w:val="24"/>
          <w:szCs w:val="24"/>
          <w:lang w:val="en-GB"/>
        </w:rPr>
        <w:t xml:space="preserve">xperimental </w:t>
      </w:r>
      <w:r w:rsidR="003B49E6">
        <w:rPr>
          <w:sz w:val="24"/>
          <w:szCs w:val="24"/>
          <w:lang w:val="en-GB"/>
        </w:rPr>
        <w:t>S</w:t>
      </w:r>
      <w:r w:rsidRPr="007E298A">
        <w:rPr>
          <w:sz w:val="24"/>
          <w:szCs w:val="24"/>
          <w:lang w:val="en-GB"/>
        </w:rPr>
        <w:t>tudy</w:t>
      </w:r>
      <w:r w:rsidR="009B6A62">
        <w:rPr>
          <w:sz w:val="24"/>
          <w:szCs w:val="24"/>
          <w:lang w:val="en-GB"/>
        </w:rPr>
        <w:t>.</w:t>
      </w:r>
      <w:r w:rsidRPr="007E298A">
        <w:rPr>
          <w:sz w:val="24"/>
          <w:szCs w:val="24"/>
          <w:lang w:val="en-GB"/>
        </w:rPr>
        <w:t>”</w:t>
      </w:r>
      <w:r w:rsidR="009B6A62">
        <w:rPr>
          <w:sz w:val="24"/>
          <w:szCs w:val="24"/>
          <w:lang w:val="en-GB"/>
        </w:rPr>
        <w:t xml:space="preserve"> </w:t>
      </w:r>
      <w:r w:rsidRPr="007E298A">
        <w:rPr>
          <w:i/>
          <w:sz w:val="24"/>
          <w:szCs w:val="24"/>
          <w:lang w:val="en-GB"/>
        </w:rPr>
        <w:t>Journal of Risk and Uncertaint</w:t>
      </w:r>
      <w:r w:rsidR="003B49E6">
        <w:rPr>
          <w:i/>
          <w:sz w:val="24"/>
          <w:szCs w:val="24"/>
          <w:lang w:val="en-GB"/>
        </w:rPr>
        <w:t>y</w:t>
      </w:r>
      <w:r w:rsidR="003B49E6">
        <w:rPr>
          <w:sz w:val="24"/>
          <w:szCs w:val="24"/>
          <w:lang w:val="en-GB"/>
        </w:rPr>
        <w:t>, 8(3),</w:t>
      </w:r>
      <w:r w:rsidRPr="007E298A">
        <w:rPr>
          <w:sz w:val="24"/>
          <w:szCs w:val="24"/>
          <w:lang w:val="en-GB"/>
        </w:rPr>
        <w:t xml:space="preserve"> 289-307.</w:t>
      </w:r>
    </w:p>
    <w:p w:rsidR="00315B1B" w:rsidRPr="00315B1B" w:rsidRDefault="00315B1B" w:rsidP="008A793E">
      <w:pPr>
        <w:spacing w:before="120" w:line="360" w:lineRule="auto"/>
        <w:ind w:left="510" w:hanging="510"/>
        <w:jc w:val="both"/>
        <w:rPr>
          <w:sz w:val="24"/>
          <w:szCs w:val="24"/>
          <w:lang w:val="en-US"/>
        </w:rPr>
      </w:pPr>
      <w:r w:rsidRPr="00315B1B">
        <w:rPr>
          <w:sz w:val="24"/>
          <w:szCs w:val="24"/>
          <w:lang w:val="en-US"/>
        </w:rPr>
        <w:t>Mankiw, N.</w:t>
      </w:r>
      <w:r w:rsidR="003B49E6">
        <w:rPr>
          <w:sz w:val="24"/>
          <w:szCs w:val="24"/>
          <w:lang w:val="en-US"/>
        </w:rPr>
        <w:t xml:space="preserve"> </w:t>
      </w:r>
      <w:r w:rsidRPr="00315B1B">
        <w:rPr>
          <w:sz w:val="24"/>
          <w:szCs w:val="24"/>
          <w:lang w:val="en-US"/>
        </w:rPr>
        <w:t>G</w:t>
      </w:r>
      <w:r w:rsidR="003B49E6">
        <w:rPr>
          <w:sz w:val="24"/>
          <w:szCs w:val="24"/>
          <w:lang w:val="en-US"/>
        </w:rPr>
        <w:t>regory</w:t>
      </w:r>
      <w:r w:rsidRPr="00315B1B">
        <w:rPr>
          <w:sz w:val="24"/>
          <w:szCs w:val="24"/>
          <w:lang w:val="en-US"/>
        </w:rPr>
        <w:t xml:space="preserve"> (1985)</w:t>
      </w:r>
      <w:r w:rsidR="009B6A62">
        <w:rPr>
          <w:sz w:val="24"/>
          <w:szCs w:val="24"/>
          <w:lang w:val="en-US"/>
        </w:rPr>
        <w:t>.</w:t>
      </w:r>
      <w:r w:rsidRPr="00315B1B">
        <w:rPr>
          <w:sz w:val="24"/>
          <w:szCs w:val="24"/>
          <w:lang w:val="en-US"/>
        </w:rPr>
        <w:t xml:space="preserve"> </w:t>
      </w:r>
      <w:r w:rsidR="001B3E22">
        <w:rPr>
          <w:sz w:val="24"/>
          <w:szCs w:val="24"/>
          <w:lang w:val="en-US"/>
        </w:rPr>
        <w:t>“</w:t>
      </w:r>
      <w:r w:rsidRPr="00315B1B">
        <w:rPr>
          <w:sz w:val="24"/>
          <w:szCs w:val="24"/>
          <w:lang w:val="en-US"/>
        </w:rPr>
        <w:t>Consumer Durables and the Real Interest Rate</w:t>
      </w:r>
      <w:r w:rsidR="009B6A62">
        <w:rPr>
          <w:sz w:val="24"/>
          <w:szCs w:val="24"/>
          <w:lang w:val="en-US"/>
        </w:rPr>
        <w:t>.</w:t>
      </w:r>
      <w:r w:rsidR="001B3E22">
        <w:rPr>
          <w:sz w:val="24"/>
          <w:szCs w:val="24"/>
          <w:lang w:val="en-US"/>
        </w:rPr>
        <w:t>”</w:t>
      </w:r>
      <w:r w:rsidRPr="00315B1B">
        <w:rPr>
          <w:sz w:val="24"/>
          <w:szCs w:val="24"/>
          <w:lang w:val="en-US"/>
        </w:rPr>
        <w:t xml:space="preserve"> </w:t>
      </w:r>
      <w:r w:rsidRPr="00315B1B">
        <w:rPr>
          <w:i/>
          <w:sz w:val="24"/>
          <w:szCs w:val="24"/>
          <w:lang w:val="en-US"/>
        </w:rPr>
        <w:t>Review of Economics and Statistics</w:t>
      </w:r>
      <w:r w:rsidRPr="00315B1B">
        <w:rPr>
          <w:sz w:val="24"/>
          <w:szCs w:val="24"/>
          <w:lang w:val="en-US"/>
        </w:rPr>
        <w:t>, 67(3), 353-62.</w:t>
      </w:r>
    </w:p>
    <w:p w:rsidR="007E298A" w:rsidRPr="007E298A" w:rsidRDefault="007E298A" w:rsidP="008A793E">
      <w:pPr>
        <w:spacing w:before="120" w:line="360" w:lineRule="auto"/>
        <w:ind w:left="510" w:hanging="510"/>
        <w:jc w:val="both"/>
        <w:rPr>
          <w:sz w:val="24"/>
          <w:szCs w:val="24"/>
          <w:lang w:val="en-GB"/>
        </w:rPr>
      </w:pPr>
      <w:r w:rsidRPr="007E298A">
        <w:rPr>
          <w:sz w:val="24"/>
          <w:szCs w:val="24"/>
          <w:lang w:val="en-GB"/>
        </w:rPr>
        <w:t>Morin, Roger A.</w:t>
      </w:r>
      <w:r w:rsidR="00780D6B">
        <w:rPr>
          <w:sz w:val="24"/>
          <w:szCs w:val="24"/>
          <w:lang w:val="en-GB"/>
        </w:rPr>
        <w:t>; S</w:t>
      </w:r>
      <w:r w:rsidRPr="007E298A">
        <w:rPr>
          <w:sz w:val="24"/>
          <w:szCs w:val="24"/>
          <w:lang w:val="en-GB"/>
        </w:rPr>
        <w:t xml:space="preserve"> and Fernández Suare</w:t>
      </w:r>
      <w:r w:rsidR="00780D6B">
        <w:rPr>
          <w:sz w:val="24"/>
          <w:szCs w:val="24"/>
          <w:lang w:val="en-GB"/>
        </w:rPr>
        <w:t xml:space="preserve">z, </w:t>
      </w:r>
      <w:r w:rsidR="00780D6B" w:rsidRPr="007E298A">
        <w:rPr>
          <w:sz w:val="24"/>
          <w:szCs w:val="24"/>
          <w:lang w:val="en-GB"/>
        </w:rPr>
        <w:t xml:space="preserve">Antonio </w:t>
      </w:r>
      <w:r w:rsidRPr="007E298A">
        <w:rPr>
          <w:sz w:val="24"/>
          <w:szCs w:val="24"/>
          <w:lang w:val="en-GB"/>
        </w:rPr>
        <w:t>(1983)</w:t>
      </w:r>
      <w:r w:rsidR="009B6A62">
        <w:rPr>
          <w:sz w:val="24"/>
          <w:szCs w:val="24"/>
          <w:lang w:val="en-GB"/>
        </w:rPr>
        <w:t>.</w:t>
      </w:r>
      <w:r w:rsidRPr="007E298A">
        <w:rPr>
          <w:sz w:val="24"/>
          <w:szCs w:val="24"/>
          <w:lang w:val="en-GB"/>
        </w:rPr>
        <w:t xml:space="preserve"> “Risk </w:t>
      </w:r>
      <w:r w:rsidR="00780D6B">
        <w:rPr>
          <w:sz w:val="24"/>
          <w:szCs w:val="24"/>
          <w:lang w:val="en-GB"/>
        </w:rPr>
        <w:t>A</w:t>
      </w:r>
      <w:r w:rsidRPr="007E298A">
        <w:rPr>
          <w:sz w:val="24"/>
          <w:szCs w:val="24"/>
          <w:lang w:val="en-GB"/>
        </w:rPr>
        <w:t xml:space="preserve">version </w:t>
      </w:r>
      <w:r w:rsidR="00780D6B">
        <w:rPr>
          <w:sz w:val="24"/>
          <w:szCs w:val="24"/>
          <w:lang w:val="en-GB"/>
        </w:rPr>
        <w:t>R</w:t>
      </w:r>
      <w:r w:rsidRPr="007E298A">
        <w:rPr>
          <w:sz w:val="24"/>
          <w:szCs w:val="24"/>
          <w:lang w:val="en-GB"/>
        </w:rPr>
        <w:t>evis</w:t>
      </w:r>
      <w:r w:rsidR="00780D6B">
        <w:rPr>
          <w:sz w:val="24"/>
          <w:szCs w:val="24"/>
          <w:lang w:val="en-GB"/>
        </w:rPr>
        <w:t>i</w:t>
      </w:r>
      <w:r w:rsidRPr="007E298A">
        <w:rPr>
          <w:sz w:val="24"/>
          <w:szCs w:val="24"/>
          <w:lang w:val="en-GB"/>
        </w:rPr>
        <w:t>ted</w:t>
      </w:r>
      <w:r w:rsidR="009B6A62">
        <w:rPr>
          <w:sz w:val="24"/>
          <w:szCs w:val="24"/>
          <w:lang w:val="en-GB"/>
        </w:rPr>
        <w:t>.</w:t>
      </w:r>
      <w:r w:rsidRPr="007E298A">
        <w:rPr>
          <w:sz w:val="24"/>
          <w:szCs w:val="24"/>
          <w:lang w:val="en-GB"/>
        </w:rPr>
        <w:t>”</w:t>
      </w:r>
      <w:r w:rsidR="009B6A62">
        <w:rPr>
          <w:sz w:val="24"/>
          <w:szCs w:val="24"/>
          <w:lang w:val="en-GB"/>
        </w:rPr>
        <w:t xml:space="preserve"> </w:t>
      </w:r>
      <w:r w:rsidRPr="007E298A">
        <w:rPr>
          <w:i/>
          <w:sz w:val="24"/>
          <w:szCs w:val="24"/>
          <w:lang w:val="en-GB"/>
        </w:rPr>
        <w:t>Journal of Financ</w:t>
      </w:r>
      <w:r w:rsidR="00780D6B">
        <w:rPr>
          <w:i/>
          <w:sz w:val="24"/>
          <w:szCs w:val="24"/>
          <w:lang w:val="en-GB"/>
        </w:rPr>
        <w:t>e</w:t>
      </w:r>
      <w:r w:rsidR="00780D6B">
        <w:rPr>
          <w:sz w:val="24"/>
          <w:szCs w:val="24"/>
          <w:lang w:val="en-GB"/>
        </w:rPr>
        <w:t>, 38(4), 1201-</w:t>
      </w:r>
      <w:r w:rsidRPr="007E298A">
        <w:rPr>
          <w:sz w:val="24"/>
          <w:szCs w:val="24"/>
          <w:lang w:val="en-GB"/>
        </w:rPr>
        <w:t>16.</w:t>
      </w:r>
    </w:p>
    <w:p w:rsidR="00896D7C" w:rsidRDefault="00896D7C" w:rsidP="00896D7C">
      <w:pPr>
        <w:spacing w:before="120" w:line="360" w:lineRule="auto"/>
        <w:ind w:left="510" w:hanging="510"/>
        <w:jc w:val="both"/>
        <w:rPr>
          <w:sz w:val="24"/>
          <w:szCs w:val="24"/>
          <w:lang w:val="en-US"/>
        </w:rPr>
      </w:pPr>
      <w:r>
        <w:rPr>
          <w:sz w:val="24"/>
          <w:szCs w:val="24"/>
          <w:lang w:val="en-US"/>
        </w:rPr>
        <w:t xml:space="preserve">Norton, Edward C.; Wang, Hua and Ai, Chunron (2004). “Computing Interaction Effects and Standard Errors in Logit and Probit Models.” </w:t>
      </w:r>
      <w:r w:rsidRPr="00BF6A03">
        <w:rPr>
          <w:i/>
          <w:sz w:val="24"/>
          <w:szCs w:val="24"/>
          <w:lang w:val="en-US"/>
        </w:rPr>
        <w:t>The Stata Journal</w:t>
      </w:r>
      <w:r>
        <w:rPr>
          <w:sz w:val="24"/>
          <w:szCs w:val="24"/>
          <w:lang w:val="en-US"/>
        </w:rPr>
        <w:t>, 4(2), 154-67.</w:t>
      </w:r>
    </w:p>
    <w:p w:rsidR="007E298A" w:rsidRDefault="007E298A" w:rsidP="008A793E">
      <w:pPr>
        <w:spacing w:before="120" w:line="360" w:lineRule="auto"/>
        <w:ind w:left="510" w:hanging="510"/>
        <w:jc w:val="both"/>
        <w:rPr>
          <w:sz w:val="24"/>
          <w:szCs w:val="24"/>
          <w:lang w:val="en-GB"/>
        </w:rPr>
      </w:pPr>
      <w:r w:rsidRPr="007E298A">
        <w:rPr>
          <w:sz w:val="24"/>
          <w:szCs w:val="24"/>
          <w:lang w:val="en-GB"/>
        </w:rPr>
        <w:lastRenderedPageBreak/>
        <w:t>Pratt, John W. (1964)</w:t>
      </w:r>
      <w:r w:rsidR="009B6A62">
        <w:rPr>
          <w:sz w:val="24"/>
          <w:szCs w:val="24"/>
          <w:lang w:val="en-GB"/>
        </w:rPr>
        <w:t>.</w:t>
      </w:r>
      <w:r w:rsidRPr="007E298A">
        <w:rPr>
          <w:sz w:val="24"/>
          <w:szCs w:val="24"/>
          <w:lang w:val="en-GB"/>
        </w:rPr>
        <w:t xml:space="preserve"> “Risk </w:t>
      </w:r>
      <w:r w:rsidR="00780D6B">
        <w:rPr>
          <w:sz w:val="24"/>
          <w:szCs w:val="24"/>
          <w:lang w:val="en-GB"/>
        </w:rPr>
        <w:t>A</w:t>
      </w:r>
      <w:r w:rsidRPr="007E298A">
        <w:rPr>
          <w:sz w:val="24"/>
          <w:szCs w:val="24"/>
          <w:lang w:val="en-GB"/>
        </w:rPr>
        <w:t xml:space="preserve">version in the </w:t>
      </w:r>
      <w:r w:rsidR="00780D6B">
        <w:rPr>
          <w:sz w:val="24"/>
          <w:szCs w:val="24"/>
          <w:lang w:val="en-GB"/>
        </w:rPr>
        <w:t>S</w:t>
      </w:r>
      <w:r w:rsidRPr="007E298A">
        <w:rPr>
          <w:sz w:val="24"/>
          <w:szCs w:val="24"/>
          <w:lang w:val="en-GB"/>
        </w:rPr>
        <w:t xml:space="preserve">mall and in the </w:t>
      </w:r>
      <w:r w:rsidR="00780D6B">
        <w:rPr>
          <w:sz w:val="24"/>
          <w:szCs w:val="24"/>
          <w:lang w:val="en-GB"/>
        </w:rPr>
        <w:t>L</w:t>
      </w:r>
      <w:r w:rsidRPr="007E298A">
        <w:rPr>
          <w:sz w:val="24"/>
          <w:szCs w:val="24"/>
          <w:lang w:val="en-GB"/>
        </w:rPr>
        <w:t>arge</w:t>
      </w:r>
      <w:r w:rsidR="009B6A62">
        <w:rPr>
          <w:sz w:val="24"/>
          <w:szCs w:val="24"/>
          <w:lang w:val="en-GB"/>
        </w:rPr>
        <w:t>.”</w:t>
      </w:r>
      <w:r w:rsidRPr="007E298A">
        <w:rPr>
          <w:sz w:val="24"/>
          <w:szCs w:val="24"/>
          <w:lang w:val="en-GB"/>
        </w:rPr>
        <w:t xml:space="preserve"> </w:t>
      </w:r>
      <w:r w:rsidRPr="007E298A">
        <w:rPr>
          <w:i/>
          <w:sz w:val="24"/>
          <w:szCs w:val="24"/>
          <w:lang w:val="en-GB"/>
        </w:rPr>
        <w:t>Econometrica</w:t>
      </w:r>
      <w:r w:rsidR="00780D6B">
        <w:rPr>
          <w:i/>
          <w:sz w:val="24"/>
          <w:szCs w:val="24"/>
          <w:lang w:val="en-GB"/>
        </w:rPr>
        <w:t>,</w:t>
      </w:r>
      <w:r w:rsidR="00780D6B">
        <w:rPr>
          <w:sz w:val="24"/>
          <w:szCs w:val="24"/>
          <w:lang w:val="en-GB"/>
        </w:rPr>
        <w:t xml:space="preserve"> 32(1-2), </w:t>
      </w:r>
      <w:r w:rsidRPr="007E298A">
        <w:rPr>
          <w:sz w:val="24"/>
          <w:szCs w:val="24"/>
          <w:lang w:val="en-GB"/>
        </w:rPr>
        <w:t>122</w:t>
      </w:r>
      <w:r w:rsidR="00780D6B">
        <w:rPr>
          <w:sz w:val="24"/>
          <w:szCs w:val="24"/>
          <w:lang w:val="en-GB"/>
        </w:rPr>
        <w:t>-</w:t>
      </w:r>
      <w:r w:rsidRPr="007E298A">
        <w:rPr>
          <w:sz w:val="24"/>
          <w:szCs w:val="24"/>
          <w:lang w:val="en-GB"/>
        </w:rPr>
        <w:t>36.</w:t>
      </w:r>
    </w:p>
    <w:p w:rsidR="007E298A" w:rsidRDefault="00315B1B" w:rsidP="008A793E">
      <w:pPr>
        <w:spacing w:before="120" w:line="360" w:lineRule="auto"/>
        <w:ind w:left="510" w:hanging="510"/>
        <w:jc w:val="both"/>
        <w:rPr>
          <w:sz w:val="24"/>
          <w:szCs w:val="24"/>
          <w:lang w:val="en-US"/>
        </w:rPr>
      </w:pPr>
      <w:r w:rsidRPr="00315B1B">
        <w:rPr>
          <w:sz w:val="24"/>
          <w:szCs w:val="24"/>
          <w:lang w:val="en-US"/>
        </w:rPr>
        <w:t xml:space="preserve">Szpiro, </w:t>
      </w:r>
      <w:r w:rsidR="00780D6B">
        <w:rPr>
          <w:sz w:val="24"/>
          <w:szCs w:val="24"/>
          <w:lang w:val="en-US"/>
        </w:rPr>
        <w:t xml:space="preserve">George </w:t>
      </w:r>
      <w:r w:rsidRPr="00315B1B">
        <w:rPr>
          <w:sz w:val="24"/>
          <w:szCs w:val="24"/>
          <w:lang w:val="en-US"/>
        </w:rPr>
        <w:t>G. (1986)</w:t>
      </w:r>
      <w:r w:rsidR="009B6A62">
        <w:rPr>
          <w:sz w:val="24"/>
          <w:szCs w:val="24"/>
          <w:lang w:val="en-US"/>
        </w:rPr>
        <w:t>.</w:t>
      </w:r>
      <w:r w:rsidRPr="00315B1B">
        <w:rPr>
          <w:sz w:val="24"/>
          <w:szCs w:val="24"/>
          <w:lang w:val="en-US"/>
        </w:rPr>
        <w:t xml:space="preserve"> </w:t>
      </w:r>
      <w:r w:rsidR="001B3E22">
        <w:rPr>
          <w:sz w:val="24"/>
          <w:szCs w:val="24"/>
          <w:lang w:val="en-US"/>
        </w:rPr>
        <w:t>“</w:t>
      </w:r>
      <w:r w:rsidRPr="00315B1B">
        <w:rPr>
          <w:sz w:val="24"/>
          <w:szCs w:val="24"/>
          <w:lang w:val="en-US"/>
        </w:rPr>
        <w:t>Measuring Risk Aversion: An Alternative Approach</w:t>
      </w:r>
      <w:r w:rsidR="009B6A62">
        <w:rPr>
          <w:sz w:val="24"/>
          <w:szCs w:val="24"/>
          <w:lang w:val="en-US"/>
        </w:rPr>
        <w:t>.</w:t>
      </w:r>
      <w:r w:rsidR="001B3E22">
        <w:rPr>
          <w:sz w:val="24"/>
          <w:szCs w:val="24"/>
          <w:lang w:val="en-US"/>
        </w:rPr>
        <w:t>”</w:t>
      </w:r>
      <w:r w:rsidRPr="00315B1B">
        <w:rPr>
          <w:sz w:val="24"/>
          <w:szCs w:val="24"/>
          <w:lang w:val="en-US"/>
        </w:rPr>
        <w:t xml:space="preserve"> </w:t>
      </w:r>
      <w:r w:rsidRPr="00315B1B">
        <w:rPr>
          <w:i/>
          <w:sz w:val="24"/>
          <w:szCs w:val="24"/>
          <w:lang w:val="en-US"/>
        </w:rPr>
        <w:t>Review of Economics and Statistics</w:t>
      </w:r>
      <w:r w:rsidR="00780D6B">
        <w:rPr>
          <w:sz w:val="24"/>
          <w:szCs w:val="24"/>
          <w:lang w:val="en-US"/>
        </w:rPr>
        <w:t>, 68(1), 156-</w:t>
      </w:r>
      <w:r w:rsidRPr="00315B1B">
        <w:rPr>
          <w:sz w:val="24"/>
          <w:szCs w:val="24"/>
          <w:lang w:val="en-US"/>
        </w:rPr>
        <w:t>9.</w:t>
      </w:r>
    </w:p>
    <w:p w:rsidR="00315B1B" w:rsidRDefault="00315B1B" w:rsidP="008A793E">
      <w:pPr>
        <w:spacing w:before="120" w:line="360" w:lineRule="auto"/>
        <w:ind w:left="510" w:hanging="510"/>
        <w:jc w:val="both"/>
        <w:rPr>
          <w:sz w:val="24"/>
          <w:szCs w:val="24"/>
          <w:lang w:val="en-US"/>
        </w:rPr>
      </w:pPr>
      <w:r w:rsidRPr="00315B1B">
        <w:rPr>
          <w:sz w:val="24"/>
          <w:szCs w:val="24"/>
          <w:lang w:val="en-US"/>
        </w:rPr>
        <w:t>Weber, W</w:t>
      </w:r>
      <w:r w:rsidR="00780D6B">
        <w:rPr>
          <w:sz w:val="24"/>
          <w:szCs w:val="24"/>
          <w:lang w:val="en-US"/>
        </w:rPr>
        <w:t>arren E.</w:t>
      </w:r>
      <w:r w:rsidRPr="00315B1B">
        <w:rPr>
          <w:sz w:val="24"/>
          <w:szCs w:val="24"/>
          <w:lang w:val="en-US"/>
        </w:rPr>
        <w:t xml:space="preserve"> (1975)</w:t>
      </w:r>
      <w:r w:rsidR="009B6A62">
        <w:rPr>
          <w:sz w:val="24"/>
          <w:szCs w:val="24"/>
          <w:lang w:val="en-US"/>
        </w:rPr>
        <w:t>.</w:t>
      </w:r>
      <w:r w:rsidRPr="00315B1B">
        <w:rPr>
          <w:sz w:val="24"/>
          <w:szCs w:val="24"/>
          <w:lang w:val="en-US"/>
        </w:rPr>
        <w:t xml:space="preserve"> </w:t>
      </w:r>
      <w:r w:rsidR="001B3E22">
        <w:rPr>
          <w:sz w:val="24"/>
          <w:szCs w:val="24"/>
          <w:lang w:val="en-US"/>
        </w:rPr>
        <w:t>“</w:t>
      </w:r>
      <w:r w:rsidRPr="00315B1B">
        <w:rPr>
          <w:sz w:val="24"/>
          <w:szCs w:val="24"/>
          <w:lang w:val="en-US"/>
        </w:rPr>
        <w:t>Interest Rates, Inflation, and Consumer Expenditures</w:t>
      </w:r>
      <w:r w:rsidR="009B6A62">
        <w:rPr>
          <w:sz w:val="24"/>
          <w:szCs w:val="24"/>
          <w:lang w:val="en-US"/>
        </w:rPr>
        <w:t>.</w:t>
      </w:r>
      <w:r w:rsidR="001B3E22">
        <w:rPr>
          <w:sz w:val="24"/>
          <w:szCs w:val="24"/>
          <w:lang w:val="en-US"/>
        </w:rPr>
        <w:t>”</w:t>
      </w:r>
      <w:r w:rsidRPr="00315B1B">
        <w:rPr>
          <w:sz w:val="24"/>
          <w:szCs w:val="24"/>
          <w:lang w:val="en-US"/>
        </w:rPr>
        <w:t xml:space="preserve"> </w:t>
      </w:r>
      <w:r w:rsidRPr="00315B1B">
        <w:rPr>
          <w:i/>
          <w:sz w:val="24"/>
          <w:szCs w:val="24"/>
          <w:lang w:val="en-US"/>
        </w:rPr>
        <w:t>American Economic Review</w:t>
      </w:r>
      <w:r w:rsidR="00780D6B">
        <w:rPr>
          <w:sz w:val="24"/>
          <w:szCs w:val="24"/>
          <w:lang w:val="en-US"/>
        </w:rPr>
        <w:t>, 65(5), 843-</w:t>
      </w:r>
      <w:r w:rsidRPr="00315B1B">
        <w:rPr>
          <w:sz w:val="24"/>
          <w:szCs w:val="24"/>
          <w:lang w:val="en-US"/>
        </w:rPr>
        <w:t>58.</w:t>
      </w:r>
    </w:p>
    <w:p w:rsidR="00DD6917" w:rsidRPr="00DB5A28" w:rsidRDefault="00DD6917" w:rsidP="00DB5A28">
      <w:pPr>
        <w:rPr>
          <w:sz w:val="24"/>
          <w:lang w:val="en-US"/>
        </w:rPr>
      </w:pPr>
    </w:p>
    <w:sectPr w:rsidR="00DD6917" w:rsidRPr="00DB5A28" w:rsidSect="008A793E">
      <w:footnotePr>
        <w:numRestart w:val="eachSect"/>
      </w:footnotePr>
      <w:endnotePr>
        <w:numFmt w:val="decimal"/>
      </w:endnotePr>
      <w:pgSz w:w="11906" w:h="16838"/>
      <w:pgMar w:top="1418" w:right="1701"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913" w:rsidRDefault="00F05913" w:rsidP="00A12590">
      <w:r>
        <w:separator/>
      </w:r>
    </w:p>
  </w:endnote>
  <w:endnote w:type="continuationSeparator" w:id="1">
    <w:p w:rsidR="00F05913" w:rsidRDefault="00F05913" w:rsidP="00A12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824" w:rsidRDefault="0000382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8011018"/>
      <w:docPartObj>
        <w:docPartGallery w:val="Page Numbers (Bottom of Page)"/>
        <w:docPartUnique/>
      </w:docPartObj>
    </w:sdtPr>
    <w:sdtContent>
      <w:p w:rsidR="00003824" w:rsidRDefault="007F38D2">
        <w:pPr>
          <w:pStyle w:val="Piedepgina"/>
          <w:jc w:val="center"/>
        </w:pPr>
        <w:fldSimple w:instr=" PAGE   \* MERGEFORMAT ">
          <w:r w:rsidR="006B36AE">
            <w:rPr>
              <w:noProof/>
            </w:rPr>
            <w:t>1</w:t>
          </w:r>
        </w:fldSimple>
      </w:p>
    </w:sdtContent>
  </w:sdt>
  <w:p w:rsidR="00003824" w:rsidRDefault="00003824">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824" w:rsidRDefault="0000382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913" w:rsidRDefault="00F05913" w:rsidP="00A12590">
      <w:r>
        <w:separator/>
      </w:r>
    </w:p>
  </w:footnote>
  <w:footnote w:type="continuationSeparator" w:id="1">
    <w:p w:rsidR="00F05913" w:rsidRDefault="00F05913" w:rsidP="00A12590">
      <w:r>
        <w:continuationSeparator/>
      </w:r>
    </w:p>
  </w:footnote>
  <w:footnote w:id="2">
    <w:p w:rsidR="00003824" w:rsidRPr="003C3998" w:rsidRDefault="00003824" w:rsidP="003C3998">
      <w:pPr>
        <w:pStyle w:val="Textonotapie"/>
        <w:jc w:val="both"/>
        <w:rPr>
          <w:lang w:val="en-US"/>
        </w:rPr>
      </w:pPr>
      <w:r>
        <w:rPr>
          <w:rStyle w:val="Refdenotaalpie"/>
        </w:rPr>
        <w:footnoteRef/>
      </w:r>
      <w:r w:rsidRPr="00BF4435">
        <w:rPr>
          <w:lang w:val="en-US"/>
        </w:rPr>
        <w:t xml:space="preserve"> The views expressed herein are those of the authors and do not reflect the official positions of the Federal Reserve Bank of St. Louis, the Federal Reserve Board of Governors, or the Federal Reserve System. Christopher J. Martinek provided research assistance. The authors thank the Inter-American Development Bank (IADB) and the Gallup Organization for facilitating access to the Gallup World Poll.</w:t>
      </w:r>
    </w:p>
  </w:footnote>
  <w:footnote w:id="3">
    <w:p w:rsidR="00003824" w:rsidRPr="000C3D94" w:rsidRDefault="00003824" w:rsidP="003575E6">
      <w:pPr>
        <w:pStyle w:val="Textonotapie"/>
        <w:jc w:val="both"/>
        <w:rPr>
          <w:lang w:val="en-US"/>
        </w:rPr>
      </w:pPr>
      <w:r>
        <w:rPr>
          <w:rStyle w:val="Refdenotaalpie"/>
        </w:rPr>
        <w:footnoteRef/>
      </w:r>
      <w:r w:rsidRPr="00BF4435">
        <w:rPr>
          <w:lang w:val="en-US"/>
        </w:rPr>
        <w:t xml:space="preserve"> More recent studies continue to show a great disparity of estimates. Using a consumption-based capital asset pricing model with state dependent risk aversion, Gordon and Amour (2004) find estimates in the range of 0 to 10. García et al. (2003) using a generalization of a Black-Scholes option pricing model to S&amp;P 500 call option prices report estimates of relative risk aversion in the range of 0.83 to 3.28. Chetty (2006), studying the links between labor supply, risk aversion and the curvature of the utility over consumption, finds a mean estimate of relative risk aversion</w:t>
      </w:r>
      <w:r>
        <w:rPr>
          <w:lang w:val="en-US"/>
        </w:rPr>
        <w:t xml:space="preserve"> </w:t>
      </w:r>
      <w:r w:rsidRPr="00BF4435">
        <w:rPr>
          <w:lang w:val="en-US"/>
        </w:rPr>
        <w:t xml:space="preserve">of 0.71 with a range of 0.15 to 1.78. Campo et al. (2011) estimate </w:t>
      </w:r>
      <w:r>
        <w:rPr>
          <w:lang w:val="en-US"/>
        </w:rPr>
        <w:t>a</w:t>
      </w:r>
      <w:r w:rsidRPr="00BF4435">
        <w:rPr>
          <w:lang w:val="en-US"/>
        </w:rPr>
        <w:t xml:space="preserve"> first-price auction model semiparametrically and report an estimate of relative risk aversion of 0.61. </w:t>
      </w:r>
    </w:p>
  </w:footnote>
  <w:footnote w:id="4">
    <w:p w:rsidR="00003824" w:rsidRPr="0097439B" w:rsidRDefault="00003824" w:rsidP="0097439B">
      <w:pPr>
        <w:pStyle w:val="Textonotapie"/>
        <w:jc w:val="both"/>
        <w:rPr>
          <w:lang w:val="en-US"/>
        </w:rPr>
      </w:pPr>
      <w:r>
        <w:rPr>
          <w:rStyle w:val="Refdenotaalpie"/>
        </w:rPr>
        <w:footnoteRef/>
      </w:r>
      <w:r w:rsidRPr="0097439B">
        <w:rPr>
          <w:lang w:val="en-US"/>
        </w:rPr>
        <w:t xml:space="preserve"> This normalization also addresses the issue of making the measures comparable across countries, as there is no clear indication of which countries report in local currency.</w:t>
      </w:r>
    </w:p>
  </w:footnote>
  <w:footnote w:id="5">
    <w:p w:rsidR="00003824" w:rsidRPr="00F367C1" w:rsidRDefault="00003824" w:rsidP="00295085">
      <w:pPr>
        <w:pStyle w:val="Textonotapie"/>
        <w:rPr>
          <w:lang w:val="en-US"/>
        </w:rPr>
      </w:pPr>
      <w:r>
        <w:rPr>
          <w:rStyle w:val="Refdenotaalpie"/>
        </w:rPr>
        <w:footnoteRef/>
      </w:r>
      <w:r w:rsidRPr="00BF4435">
        <w:rPr>
          <w:lang w:val="en-US"/>
        </w:rPr>
        <w:t xml:space="preserve"> The number of observations used in our study is substantially limited by the lack of</w:t>
      </w:r>
      <w:r>
        <w:rPr>
          <w:lang w:val="en-US"/>
        </w:rPr>
        <w:t xml:space="preserve"> country-specific values for the income variable.</w:t>
      </w:r>
    </w:p>
  </w:footnote>
  <w:footnote w:id="6">
    <w:p w:rsidR="00003824" w:rsidRPr="00C30D68" w:rsidRDefault="00003824" w:rsidP="003575E6">
      <w:pPr>
        <w:pStyle w:val="Textonotapie"/>
        <w:rPr>
          <w:lang w:val="en-US"/>
        </w:rPr>
      </w:pPr>
      <w:r>
        <w:rPr>
          <w:rStyle w:val="Refdenotaalpie"/>
        </w:rPr>
        <w:footnoteRef/>
      </w:r>
      <w:r w:rsidRPr="00BF4435">
        <w:rPr>
          <w:lang w:val="en-US"/>
        </w:rPr>
        <w:t xml:space="preserve"> Holt and Laury (2002) report relative risk aversion between 0.3 and 0.5 and Andersen et al. (2008) report an estimate of relative risk aversion of 0.74.</w:t>
      </w:r>
    </w:p>
  </w:footnote>
  <w:footnote w:id="7">
    <w:p w:rsidR="00003824" w:rsidRPr="006A41FF" w:rsidRDefault="00003824" w:rsidP="00164547">
      <w:pPr>
        <w:pStyle w:val="Textonotapie"/>
        <w:jc w:val="both"/>
        <w:rPr>
          <w:lang w:val="en-US"/>
        </w:rPr>
      </w:pPr>
      <w:r>
        <w:rPr>
          <w:rStyle w:val="Refdenotaalpie"/>
        </w:rPr>
        <w:footnoteRef/>
      </w:r>
      <w:r w:rsidRPr="00BF4435">
        <w:rPr>
          <w:lang w:val="en-US"/>
        </w:rPr>
        <w:t xml:space="preserve"> Buis (2010) shows that </w:t>
      </w:r>
      <w:r>
        <w:rPr>
          <w:lang w:val="en-US"/>
        </w:rPr>
        <w:t xml:space="preserve">interpreting the odds ratio representation of the ordered logit coefficients as the multiplicative effect of the interaction term is a straightforward alternative to the interpretation of interaction effects in terms of marginal effects, which requires the computation of a cross-partial derivative as in Ai and Norton (2003) and Norton et al. (2004).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824" w:rsidRDefault="0000382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824" w:rsidRDefault="00003824">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824" w:rsidRDefault="0000382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48C5"/>
    <w:multiLevelType w:val="multilevel"/>
    <w:tmpl w:val="6C18668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1996DF0"/>
    <w:multiLevelType w:val="multilevel"/>
    <w:tmpl w:val="6C18668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174B59A5"/>
    <w:multiLevelType w:val="hybridMultilevel"/>
    <w:tmpl w:val="BBE84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2C7485B"/>
    <w:multiLevelType w:val="hybridMultilevel"/>
    <w:tmpl w:val="5A04B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5F16D55"/>
    <w:multiLevelType w:val="multilevel"/>
    <w:tmpl w:val="26A0257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B8A03C2"/>
    <w:multiLevelType w:val="hybridMultilevel"/>
    <w:tmpl w:val="9C0AB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D7F3D21"/>
    <w:multiLevelType w:val="hybridMultilevel"/>
    <w:tmpl w:val="7B46953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715E44"/>
    <w:multiLevelType w:val="multilevel"/>
    <w:tmpl w:val="2BEC4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5"/>
  </w:num>
  <w:num w:numId="4">
    <w:abstractNumId w:val="3"/>
  </w:num>
  <w:num w:numId="5">
    <w:abstractNumId w:val="2"/>
  </w:num>
  <w:num w:numId="6">
    <w:abstractNumId w:val="4"/>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displayHorizontalDrawingGridEvery w:val="0"/>
  <w:displayVerticalDrawingGridEvery w:val="0"/>
  <w:doNotUseMarginsForDrawingGridOrigin/>
  <w:noPunctuationKerning/>
  <w:characterSpacingControl w:val="doNotCompress"/>
  <w:footnotePr>
    <w:numRestart w:val="eachSect"/>
    <w:footnote w:id="0"/>
    <w:footnote w:id="1"/>
  </w:footnotePr>
  <w:endnotePr>
    <w:numFmt w:val="decimal"/>
    <w:endnote w:id="0"/>
    <w:endnote w:id="1"/>
  </w:endnotePr>
  <w:compat/>
  <w:rsids>
    <w:rsidRoot w:val="00A271AB"/>
    <w:rsid w:val="000037FB"/>
    <w:rsid w:val="00003824"/>
    <w:rsid w:val="00003E9D"/>
    <w:rsid w:val="00005B11"/>
    <w:rsid w:val="00005B95"/>
    <w:rsid w:val="00011C70"/>
    <w:rsid w:val="000153C1"/>
    <w:rsid w:val="00025094"/>
    <w:rsid w:val="00025A32"/>
    <w:rsid w:val="00027FBB"/>
    <w:rsid w:val="00034939"/>
    <w:rsid w:val="0004467A"/>
    <w:rsid w:val="0004650D"/>
    <w:rsid w:val="000546D8"/>
    <w:rsid w:val="000A2F3A"/>
    <w:rsid w:val="000B29A3"/>
    <w:rsid w:val="000B2BA3"/>
    <w:rsid w:val="000C3D6F"/>
    <w:rsid w:val="000C3D94"/>
    <w:rsid w:val="000C7AE2"/>
    <w:rsid w:val="000D05E3"/>
    <w:rsid w:val="000F4C3C"/>
    <w:rsid w:val="00102D09"/>
    <w:rsid w:val="00103E56"/>
    <w:rsid w:val="00104CEF"/>
    <w:rsid w:val="001117C3"/>
    <w:rsid w:val="001131C0"/>
    <w:rsid w:val="00127827"/>
    <w:rsid w:val="00132E92"/>
    <w:rsid w:val="00147936"/>
    <w:rsid w:val="00152052"/>
    <w:rsid w:val="00157A7E"/>
    <w:rsid w:val="00164547"/>
    <w:rsid w:val="00170593"/>
    <w:rsid w:val="00184D2C"/>
    <w:rsid w:val="00187388"/>
    <w:rsid w:val="001A0C0B"/>
    <w:rsid w:val="001A3B45"/>
    <w:rsid w:val="001B3E22"/>
    <w:rsid w:val="001D3D49"/>
    <w:rsid w:val="001E327F"/>
    <w:rsid w:val="00227AE1"/>
    <w:rsid w:val="00253212"/>
    <w:rsid w:val="00256073"/>
    <w:rsid w:val="00260B67"/>
    <w:rsid w:val="00263B7C"/>
    <w:rsid w:val="00277E68"/>
    <w:rsid w:val="00280F6B"/>
    <w:rsid w:val="00285F1A"/>
    <w:rsid w:val="00295085"/>
    <w:rsid w:val="002B4BD2"/>
    <w:rsid w:val="002D00F5"/>
    <w:rsid w:val="002D29D7"/>
    <w:rsid w:val="002F0CF8"/>
    <w:rsid w:val="00301E9E"/>
    <w:rsid w:val="00304881"/>
    <w:rsid w:val="00310079"/>
    <w:rsid w:val="00314E36"/>
    <w:rsid w:val="00315B1B"/>
    <w:rsid w:val="00322E25"/>
    <w:rsid w:val="00327537"/>
    <w:rsid w:val="0033181E"/>
    <w:rsid w:val="003319A9"/>
    <w:rsid w:val="00342C9E"/>
    <w:rsid w:val="00350F66"/>
    <w:rsid w:val="00352648"/>
    <w:rsid w:val="00354CC8"/>
    <w:rsid w:val="00356142"/>
    <w:rsid w:val="003575E6"/>
    <w:rsid w:val="0036696E"/>
    <w:rsid w:val="00383F90"/>
    <w:rsid w:val="003A6EB4"/>
    <w:rsid w:val="003B49E6"/>
    <w:rsid w:val="003C3998"/>
    <w:rsid w:val="003D35D9"/>
    <w:rsid w:val="003E6155"/>
    <w:rsid w:val="00422F40"/>
    <w:rsid w:val="00425EC3"/>
    <w:rsid w:val="00427FAB"/>
    <w:rsid w:val="00451003"/>
    <w:rsid w:val="00452A6F"/>
    <w:rsid w:val="00454257"/>
    <w:rsid w:val="00455A28"/>
    <w:rsid w:val="00463584"/>
    <w:rsid w:val="004753C0"/>
    <w:rsid w:val="00487DFC"/>
    <w:rsid w:val="00491219"/>
    <w:rsid w:val="00495673"/>
    <w:rsid w:val="00497179"/>
    <w:rsid w:val="004A18C1"/>
    <w:rsid w:val="004C476E"/>
    <w:rsid w:val="004D4732"/>
    <w:rsid w:val="004E275F"/>
    <w:rsid w:val="004E44E3"/>
    <w:rsid w:val="004E53DE"/>
    <w:rsid w:val="004E6A0F"/>
    <w:rsid w:val="005019F5"/>
    <w:rsid w:val="00502164"/>
    <w:rsid w:val="0051132F"/>
    <w:rsid w:val="00536A9C"/>
    <w:rsid w:val="00540580"/>
    <w:rsid w:val="005517EE"/>
    <w:rsid w:val="0056346E"/>
    <w:rsid w:val="00577317"/>
    <w:rsid w:val="005821E4"/>
    <w:rsid w:val="00595F80"/>
    <w:rsid w:val="005A26D9"/>
    <w:rsid w:val="005B6E18"/>
    <w:rsid w:val="005C0C7B"/>
    <w:rsid w:val="005D461D"/>
    <w:rsid w:val="005F08FE"/>
    <w:rsid w:val="00601458"/>
    <w:rsid w:val="00602F21"/>
    <w:rsid w:val="006031F1"/>
    <w:rsid w:val="006073C6"/>
    <w:rsid w:val="00613887"/>
    <w:rsid w:val="006164B9"/>
    <w:rsid w:val="00634273"/>
    <w:rsid w:val="006506C6"/>
    <w:rsid w:val="00655E11"/>
    <w:rsid w:val="00660D42"/>
    <w:rsid w:val="00662247"/>
    <w:rsid w:val="006677FC"/>
    <w:rsid w:val="00667DA7"/>
    <w:rsid w:val="00694D91"/>
    <w:rsid w:val="006A2E98"/>
    <w:rsid w:val="006A41FF"/>
    <w:rsid w:val="006A69CC"/>
    <w:rsid w:val="006A7B4F"/>
    <w:rsid w:val="006B36AE"/>
    <w:rsid w:val="006C261E"/>
    <w:rsid w:val="006D3C93"/>
    <w:rsid w:val="006F1D03"/>
    <w:rsid w:val="006F7F39"/>
    <w:rsid w:val="007131AA"/>
    <w:rsid w:val="00754479"/>
    <w:rsid w:val="00756C08"/>
    <w:rsid w:val="0076108C"/>
    <w:rsid w:val="007660FC"/>
    <w:rsid w:val="00780D6B"/>
    <w:rsid w:val="007900A2"/>
    <w:rsid w:val="00790862"/>
    <w:rsid w:val="007935DF"/>
    <w:rsid w:val="0079791B"/>
    <w:rsid w:val="007C5EA5"/>
    <w:rsid w:val="007C7A66"/>
    <w:rsid w:val="007E298A"/>
    <w:rsid w:val="007E4E56"/>
    <w:rsid w:val="007F38D2"/>
    <w:rsid w:val="007F3C25"/>
    <w:rsid w:val="007F5EB3"/>
    <w:rsid w:val="00800EC6"/>
    <w:rsid w:val="00800F9E"/>
    <w:rsid w:val="00803C81"/>
    <w:rsid w:val="00805A5A"/>
    <w:rsid w:val="008153C5"/>
    <w:rsid w:val="008207C5"/>
    <w:rsid w:val="00826C34"/>
    <w:rsid w:val="008337B3"/>
    <w:rsid w:val="008352CD"/>
    <w:rsid w:val="008624B2"/>
    <w:rsid w:val="00870BB1"/>
    <w:rsid w:val="00876615"/>
    <w:rsid w:val="0088032D"/>
    <w:rsid w:val="00885257"/>
    <w:rsid w:val="0089059B"/>
    <w:rsid w:val="00892482"/>
    <w:rsid w:val="008957DC"/>
    <w:rsid w:val="00896D7C"/>
    <w:rsid w:val="008A793E"/>
    <w:rsid w:val="008C75A1"/>
    <w:rsid w:val="008D3045"/>
    <w:rsid w:val="008E737A"/>
    <w:rsid w:val="008F2E9A"/>
    <w:rsid w:val="009001E7"/>
    <w:rsid w:val="009048A4"/>
    <w:rsid w:val="009052B1"/>
    <w:rsid w:val="00924DC5"/>
    <w:rsid w:val="00940020"/>
    <w:rsid w:val="00941202"/>
    <w:rsid w:val="00941F6B"/>
    <w:rsid w:val="00943E96"/>
    <w:rsid w:val="009678C3"/>
    <w:rsid w:val="00970633"/>
    <w:rsid w:val="0097439B"/>
    <w:rsid w:val="0098464C"/>
    <w:rsid w:val="00993E60"/>
    <w:rsid w:val="00997EAE"/>
    <w:rsid w:val="009B4998"/>
    <w:rsid w:val="009B6A62"/>
    <w:rsid w:val="009C4055"/>
    <w:rsid w:val="009C7BA3"/>
    <w:rsid w:val="009D1882"/>
    <w:rsid w:val="009D52DA"/>
    <w:rsid w:val="009E4EBF"/>
    <w:rsid w:val="009E6094"/>
    <w:rsid w:val="009F72C1"/>
    <w:rsid w:val="00A039E8"/>
    <w:rsid w:val="00A07EA6"/>
    <w:rsid w:val="00A12590"/>
    <w:rsid w:val="00A13BB5"/>
    <w:rsid w:val="00A1659B"/>
    <w:rsid w:val="00A271AB"/>
    <w:rsid w:val="00A55FB0"/>
    <w:rsid w:val="00A60EED"/>
    <w:rsid w:val="00A63938"/>
    <w:rsid w:val="00A7741E"/>
    <w:rsid w:val="00A82C65"/>
    <w:rsid w:val="00A84CEC"/>
    <w:rsid w:val="00A90E3B"/>
    <w:rsid w:val="00AC7C3D"/>
    <w:rsid w:val="00AD06DD"/>
    <w:rsid w:val="00AF6DBE"/>
    <w:rsid w:val="00B160D5"/>
    <w:rsid w:val="00B211FD"/>
    <w:rsid w:val="00B27489"/>
    <w:rsid w:val="00B31179"/>
    <w:rsid w:val="00B3389A"/>
    <w:rsid w:val="00B41923"/>
    <w:rsid w:val="00B60CBD"/>
    <w:rsid w:val="00B731C9"/>
    <w:rsid w:val="00B75594"/>
    <w:rsid w:val="00B94884"/>
    <w:rsid w:val="00BA47D7"/>
    <w:rsid w:val="00BA7DA9"/>
    <w:rsid w:val="00BB2476"/>
    <w:rsid w:val="00BB3C7A"/>
    <w:rsid w:val="00BC383D"/>
    <w:rsid w:val="00BD001E"/>
    <w:rsid w:val="00BD23E2"/>
    <w:rsid w:val="00BE679D"/>
    <w:rsid w:val="00BF4435"/>
    <w:rsid w:val="00BF6A03"/>
    <w:rsid w:val="00C06098"/>
    <w:rsid w:val="00C23B11"/>
    <w:rsid w:val="00C30D68"/>
    <w:rsid w:val="00C3593C"/>
    <w:rsid w:val="00C42B19"/>
    <w:rsid w:val="00C4510D"/>
    <w:rsid w:val="00C4752D"/>
    <w:rsid w:val="00C531B0"/>
    <w:rsid w:val="00C5490B"/>
    <w:rsid w:val="00C7060E"/>
    <w:rsid w:val="00C7582E"/>
    <w:rsid w:val="00C80E86"/>
    <w:rsid w:val="00C812E6"/>
    <w:rsid w:val="00CB1E07"/>
    <w:rsid w:val="00CB4884"/>
    <w:rsid w:val="00CB7074"/>
    <w:rsid w:val="00CC4480"/>
    <w:rsid w:val="00CC5775"/>
    <w:rsid w:val="00CD4732"/>
    <w:rsid w:val="00CD559D"/>
    <w:rsid w:val="00CE3563"/>
    <w:rsid w:val="00CE3CBC"/>
    <w:rsid w:val="00CF298B"/>
    <w:rsid w:val="00D01DB5"/>
    <w:rsid w:val="00D13FA5"/>
    <w:rsid w:val="00D23651"/>
    <w:rsid w:val="00D245EE"/>
    <w:rsid w:val="00D3026E"/>
    <w:rsid w:val="00D508E3"/>
    <w:rsid w:val="00D51AF5"/>
    <w:rsid w:val="00D52D32"/>
    <w:rsid w:val="00D534CB"/>
    <w:rsid w:val="00D553D4"/>
    <w:rsid w:val="00D64CA8"/>
    <w:rsid w:val="00D7622C"/>
    <w:rsid w:val="00D90AB1"/>
    <w:rsid w:val="00D91AE2"/>
    <w:rsid w:val="00D91CEA"/>
    <w:rsid w:val="00D95037"/>
    <w:rsid w:val="00DA11F4"/>
    <w:rsid w:val="00DA5317"/>
    <w:rsid w:val="00DA7961"/>
    <w:rsid w:val="00DB5A28"/>
    <w:rsid w:val="00DC0506"/>
    <w:rsid w:val="00DD1050"/>
    <w:rsid w:val="00DD223C"/>
    <w:rsid w:val="00DD4071"/>
    <w:rsid w:val="00DD5CA3"/>
    <w:rsid w:val="00DD6917"/>
    <w:rsid w:val="00DE2587"/>
    <w:rsid w:val="00DE7AB1"/>
    <w:rsid w:val="00E0046C"/>
    <w:rsid w:val="00E01067"/>
    <w:rsid w:val="00E11E5A"/>
    <w:rsid w:val="00E14C9A"/>
    <w:rsid w:val="00E1623F"/>
    <w:rsid w:val="00E272AE"/>
    <w:rsid w:val="00E35E94"/>
    <w:rsid w:val="00E37F2E"/>
    <w:rsid w:val="00E67C31"/>
    <w:rsid w:val="00E71583"/>
    <w:rsid w:val="00E90984"/>
    <w:rsid w:val="00E97B92"/>
    <w:rsid w:val="00EA2348"/>
    <w:rsid w:val="00EA5E16"/>
    <w:rsid w:val="00EC24B7"/>
    <w:rsid w:val="00EC68BD"/>
    <w:rsid w:val="00EC7E20"/>
    <w:rsid w:val="00ED5191"/>
    <w:rsid w:val="00ED74D8"/>
    <w:rsid w:val="00EE372D"/>
    <w:rsid w:val="00EE5192"/>
    <w:rsid w:val="00F01066"/>
    <w:rsid w:val="00F05913"/>
    <w:rsid w:val="00F06F9E"/>
    <w:rsid w:val="00F16D58"/>
    <w:rsid w:val="00F202FC"/>
    <w:rsid w:val="00F27A8A"/>
    <w:rsid w:val="00F316A5"/>
    <w:rsid w:val="00F37D01"/>
    <w:rsid w:val="00F768B8"/>
    <w:rsid w:val="00F86A4C"/>
    <w:rsid w:val="00FA4E05"/>
    <w:rsid w:val="00FB131B"/>
    <w:rsid w:val="00FB349C"/>
    <w:rsid w:val="00FB5EE1"/>
    <w:rsid w:val="00FD0F4C"/>
    <w:rsid w:val="00FD5711"/>
    <w:rsid w:val="00FD7FCC"/>
    <w:rsid w:val="00FF3E32"/>
    <w:rsid w:val="00FF640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0FC"/>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7660FC"/>
    <w:pPr>
      <w:jc w:val="both"/>
    </w:pPr>
    <w:rPr>
      <w:lang w:val="en-US"/>
    </w:rPr>
  </w:style>
  <w:style w:type="paragraph" w:styleId="Textonotapie">
    <w:name w:val="footnote text"/>
    <w:basedOn w:val="Normal"/>
    <w:link w:val="TextonotapieCar"/>
    <w:semiHidden/>
    <w:rsid w:val="00A12590"/>
    <w:rPr>
      <w:lang w:eastAsia="en-US"/>
    </w:rPr>
  </w:style>
  <w:style w:type="character" w:customStyle="1" w:styleId="TextonotapieCar">
    <w:name w:val="Texto nota pie Car"/>
    <w:basedOn w:val="Fuentedeprrafopredeter"/>
    <w:link w:val="Textonotapie"/>
    <w:semiHidden/>
    <w:rsid w:val="00A12590"/>
    <w:rPr>
      <w:lang w:eastAsia="en-US"/>
    </w:rPr>
  </w:style>
  <w:style w:type="character" w:styleId="Refdenotaalpie">
    <w:name w:val="footnote reference"/>
    <w:basedOn w:val="Fuentedeprrafopredeter"/>
    <w:semiHidden/>
    <w:rsid w:val="00A12590"/>
    <w:rPr>
      <w:vertAlign w:val="superscript"/>
    </w:rPr>
  </w:style>
  <w:style w:type="paragraph" w:styleId="Prrafodelista">
    <w:name w:val="List Paragraph"/>
    <w:basedOn w:val="Normal"/>
    <w:uiPriority w:val="34"/>
    <w:qFormat/>
    <w:rsid w:val="00A12590"/>
    <w:pPr>
      <w:ind w:left="708"/>
    </w:pPr>
  </w:style>
  <w:style w:type="paragraph" w:styleId="Textoindependiente2">
    <w:name w:val="Body Text 2"/>
    <w:basedOn w:val="Normal"/>
    <w:link w:val="Textoindependiente2Car"/>
    <w:uiPriority w:val="99"/>
    <w:unhideWhenUsed/>
    <w:rsid w:val="00A12590"/>
    <w:pPr>
      <w:spacing w:after="120" w:line="480" w:lineRule="auto"/>
    </w:pPr>
  </w:style>
  <w:style w:type="character" w:customStyle="1" w:styleId="Textoindependiente2Car">
    <w:name w:val="Texto independiente 2 Car"/>
    <w:basedOn w:val="Fuentedeprrafopredeter"/>
    <w:link w:val="Textoindependiente2"/>
    <w:uiPriority w:val="99"/>
    <w:rsid w:val="00A12590"/>
  </w:style>
  <w:style w:type="paragraph" w:customStyle="1" w:styleId="Default">
    <w:name w:val="Default"/>
    <w:rsid w:val="00132E92"/>
    <w:rPr>
      <w:rFonts w:ascii="Book Antiqua" w:hAnsi="Book Antiqua"/>
      <w:snapToGrid w:val="0"/>
      <w:color w:val="000000"/>
      <w:sz w:val="24"/>
      <w:szCs w:val="24"/>
      <w:lang w:val="es-ES" w:eastAsia="es-ES"/>
    </w:rPr>
  </w:style>
  <w:style w:type="paragraph" w:styleId="Encabezado">
    <w:name w:val="header"/>
    <w:basedOn w:val="Normal"/>
    <w:link w:val="EncabezadoCar"/>
    <w:uiPriority w:val="99"/>
    <w:semiHidden/>
    <w:unhideWhenUsed/>
    <w:rsid w:val="002B4BD2"/>
    <w:pPr>
      <w:tabs>
        <w:tab w:val="center" w:pos="4680"/>
        <w:tab w:val="right" w:pos="9360"/>
      </w:tabs>
    </w:pPr>
  </w:style>
  <w:style w:type="character" w:customStyle="1" w:styleId="EncabezadoCar">
    <w:name w:val="Encabezado Car"/>
    <w:basedOn w:val="Fuentedeprrafopredeter"/>
    <w:link w:val="Encabezado"/>
    <w:uiPriority w:val="99"/>
    <w:semiHidden/>
    <w:rsid w:val="002B4BD2"/>
    <w:rPr>
      <w:lang w:val="es-ES" w:eastAsia="es-ES"/>
    </w:rPr>
  </w:style>
  <w:style w:type="paragraph" w:styleId="Piedepgina">
    <w:name w:val="footer"/>
    <w:basedOn w:val="Normal"/>
    <w:link w:val="PiedepginaCar"/>
    <w:uiPriority w:val="99"/>
    <w:unhideWhenUsed/>
    <w:rsid w:val="002B4BD2"/>
    <w:pPr>
      <w:tabs>
        <w:tab w:val="center" w:pos="4680"/>
        <w:tab w:val="right" w:pos="9360"/>
      </w:tabs>
    </w:pPr>
  </w:style>
  <w:style w:type="character" w:customStyle="1" w:styleId="PiedepginaCar">
    <w:name w:val="Pie de página Car"/>
    <w:basedOn w:val="Fuentedeprrafopredeter"/>
    <w:link w:val="Piedepgina"/>
    <w:uiPriority w:val="99"/>
    <w:rsid w:val="002B4BD2"/>
    <w:rPr>
      <w:lang w:val="es-ES" w:eastAsia="es-ES"/>
    </w:rPr>
  </w:style>
  <w:style w:type="character" w:styleId="Refdecomentario">
    <w:name w:val="annotation reference"/>
    <w:basedOn w:val="Fuentedeprrafopredeter"/>
    <w:uiPriority w:val="99"/>
    <w:semiHidden/>
    <w:unhideWhenUsed/>
    <w:rsid w:val="009F72C1"/>
    <w:rPr>
      <w:sz w:val="16"/>
      <w:szCs w:val="16"/>
    </w:rPr>
  </w:style>
  <w:style w:type="paragraph" w:styleId="Textocomentario">
    <w:name w:val="annotation text"/>
    <w:basedOn w:val="Normal"/>
    <w:link w:val="TextocomentarioCar"/>
    <w:uiPriority w:val="99"/>
    <w:semiHidden/>
    <w:unhideWhenUsed/>
    <w:rsid w:val="009F72C1"/>
  </w:style>
  <w:style w:type="character" w:customStyle="1" w:styleId="TextocomentarioCar">
    <w:name w:val="Texto comentario Car"/>
    <w:basedOn w:val="Fuentedeprrafopredeter"/>
    <w:link w:val="Textocomentario"/>
    <w:uiPriority w:val="99"/>
    <w:semiHidden/>
    <w:rsid w:val="009F72C1"/>
    <w:rPr>
      <w:lang w:val="es-ES" w:eastAsia="es-ES"/>
    </w:rPr>
  </w:style>
  <w:style w:type="paragraph" w:styleId="Asuntodelcomentario">
    <w:name w:val="annotation subject"/>
    <w:basedOn w:val="Textocomentario"/>
    <w:next w:val="Textocomentario"/>
    <w:link w:val="AsuntodelcomentarioCar"/>
    <w:uiPriority w:val="99"/>
    <w:semiHidden/>
    <w:unhideWhenUsed/>
    <w:rsid w:val="009F72C1"/>
    <w:rPr>
      <w:b/>
      <w:bCs/>
    </w:rPr>
  </w:style>
  <w:style w:type="character" w:customStyle="1" w:styleId="AsuntodelcomentarioCar">
    <w:name w:val="Asunto del comentario Car"/>
    <w:basedOn w:val="TextocomentarioCar"/>
    <w:link w:val="Asuntodelcomentario"/>
    <w:uiPriority w:val="99"/>
    <w:semiHidden/>
    <w:rsid w:val="009F72C1"/>
    <w:rPr>
      <w:b/>
      <w:bCs/>
    </w:rPr>
  </w:style>
  <w:style w:type="paragraph" w:styleId="Textodeglobo">
    <w:name w:val="Balloon Text"/>
    <w:basedOn w:val="Normal"/>
    <w:link w:val="TextodegloboCar"/>
    <w:uiPriority w:val="99"/>
    <w:semiHidden/>
    <w:unhideWhenUsed/>
    <w:rsid w:val="009F72C1"/>
    <w:rPr>
      <w:rFonts w:ascii="Tahoma" w:hAnsi="Tahoma" w:cs="Tahoma"/>
      <w:sz w:val="16"/>
      <w:szCs w:val="16"/>
    </w:rPr>
  </w:style>
  <w:style w:type="character" w:customStyle="1" w:styleId="TextodegloboCar">
    <w:name w:val="Texto de globo Car"/>
    <w:basedOn w:val="Fuentedeprrafopredeter"/>
    <w:link w:val="Textodeglobo"/>
    <w:uiPriority w:val="99"/>
    <w:semiHidden/>
    <w:rsid w:val="009F72C1"/>
    <w:rPr>
      <w:rFonts w:ascii="Tahoma" w:hAnsi="Tahoma" w:cs="Tahoma"/>
      <w:sz w:val="16"/>
      <w:szCs w:val="16"/>
      <w:lang w:val="es-ES" w:eastAsia="es-ES"/>
    </w:rPr>
  </w:style>
  <w:style w:type="character" w:styleId="Textodelmarcadordeposicin">
    <w:name w:val="Placeholder Text"/>
    <w:basedOn w:val="Fuentedeprrafopredeter"/>
    <w:uiPriority w:val="99"/>
    <w:semiHidden/>
    <w:rsid w:val="00DD4071"/>
    <w:rPr>
      <w:color w:val="808080"/>
    </w:rPr>
  </w:style>
  <w:style w:type="paragraph" w:styleId="Textonotaalfinal">
    <w:name w:val="endnote text"/>
    <w:basedOn w:val="Normal"/>
    <w:link w:val="TextonotaalfinalCar"/>
    <w:uiPriority w:val="99"/>
    <w:semiHidden/>
    <w:unhideWhenUsed/>
    <w:rsid w:val="00CB4884"/>
  </w:style>
  <w:style w:type="character" w:customStyle="1" w:styleId="TextonotaalfinalCar">
    <w:name w:val="Texto nota al final Car"/>
    <w:basedOn w:val="Fuentedeprrafopredeter"/>
    <w:link w:val="Textonotaalfinal"/>
    <w:uiPriority w:val="99"/>
    <w:semiHidden/>
    <w:rsid w:val="00CB4884"/>
    <w:rPr>
      <w:lang w:val="es-ES" w:eastAsia="es-ES"/>
    </w:rPr>
  </w:style>
  <w:style w:type="character" w:styleId="Refdenotaalfinal">
    <w:name w:val="endnote reference"/>
    <w:basedOn w:val="Fuentedeprrafopredeter"/>
    <w:uiPriority w:val="99"/>
    <w:semiHidden/>
    <w:unhideWhenUsed/>
    <w:rsid w:val="00CB4884"/>
    <w:rPr>
      <w:vertAlign w:val="superscript"/>
    </w:rPr>
  </w:style>
</w:styles>
</file>

<file path=word/webSettings.xml><?xml version="1.0" encoding="utf-8"?>
<w:webSettings xmlns:r="http://schemas.openxmlformats.org/officeDocument/2006/relationships" xmlns:w="http://schemas.openxmlformats.org/wordprocessingml/2006/main">
  <w:divs>
    <w:div w:id="25520930">
      <w:bodyDiv w:val="1"/>
      <w:marLeft w:val="0"/>
      <w:marRight w:val="0"/>
      <w:marTop w:val="0"/>
      <w:marBottom w:val="0"/>
      <w:divBdr>
        <w:top w:val="none" w:sz="0" w:space="0" w:color="auto"/>
        <w:left w:val="none" w:sz="0" w:space="0" w:color="auto"/>
        <w:bottom w:val="none" w:sz="0" w:space="0" w:color="auto"/>
        <w:right w:val="none" w:sz="0" w:space="0" w:color="auto"/>
      </w:divBdr>
    </w:div>
    <w:div w:id="191694578">
      <w:bodyDiv w:val="1"/>
      <w:marLeft w:val="0"/>
      <w:marRight w:val="0"/>
      <w:marTop w:val="0"/>
      <w:marBottom w:val="0"/>
      <w:divBdr>
        <w:top w:val="none" w:sz="0" w:space="0" w:color="auto"/>
        <w:left w:val="none" w:sz="0" w:space="0" w:color="auto"/>
        <w:bottom w:val="none" w:sz="0" w:space="0" w:color="auto"/>
        <w:right w:val="none" w:sz="0" w:space="0" w:color="auto"/>
      </w:divBdr>
    </w:div>
    <w:div w:id="365325955">
      <w:bodyDiv w:val="1"/>
      <w:marLeft w:val="0"/>
      <w:marRight w:val="0"/>
      <w:marTop w:val="0"/>
      <w:marBottom w:val="0"/>
      <w:divBdr>
        <w:top w:val="none" w:sz="0" w:space="0" w:color="auto"/>
        <w:left w:val="none" w:sz="0" w:space="0" w:color="auto"/>
        <w:bottom w:val="none" w:sz="0" w:space="0" w:color="auto"/>
        <w:right w:val="none" w:sz="0" w:space="0" w:color="auto"/>
      </w:divBdr>
    </w:div>
    <w:div w:id="384793744">
      <w:bodyDiv w:val="1"/>
      <w:marLeft w:val="0"/>
      <w:marRight w:val="0"/>
      <w:marTop w:val="0"/>
      <w:marBottom w:val="0"/>
      <w:divBdr>
        <w:top w:val="none" w:sz="0" w:space="0" w:color="auto"/>
        <w:left w:val="none" w:sz="0" w:space="0" w:color="auto"/>
        <w:bottom w:val="none" w:sz="0" w:space="0" w:color="auto"/>
        <w:right w:val="none" w:sz="0" w:space="0" w:color="auto"/>
      </w:divBdr>
    </w:div>
    <w:div w:id="557327498">
      <w:bodyDiv w:val="1"/>
      <w:marLeft w:val="0"/>
      <w:marRight w:val="0"/>
      <w:marTop w:val="0"/>
      <w:marBottom w:val="0"/>
      <w:divBdr>
        <w:top w:val="none" w:sz="0" w:space="0" w:color="auto"/>
        <w:left w:val="none" w:sz="0" w:space="0" w:color="auto"/>
        <w:bottom w:val="none" w:sz="0" w:space="0" w:color="auto"/>
        <w:right w:val="none" w:sz="0" w:space="0" w:color="auto"/>
      </w:divBdr>
    </w:div>
    <w:div w:id="620695786">
      <w:bodyDiv w:val="1"/>
      <w:marLeft w:val="0"/>
      <w:marRight w:val="0"/>
      <w:marTop w:val="0"/>
      <w:marBottom w:val="0"/>
      <w:divBdr>
        <w:top w:val="none" w:sz="0" w:space="0" w:color="auto"/>
        <w:left w:val="none" w:sz="0" w:space="0" w:color="auto"/>
        <w:bottom w:val="none" w:sz="0" w:space="0" w:color="auto"/>
        <w:right w:val="none" w:sz="0" w:space="0" w:color="auto"/>
      </w:divBdr>
    </w:div>
    <w:div w:id="784812895">
      <w:bodyDiv w:val="1"/>
      <w:marLeft w:val="0"/>
      <w:marRight w:val="0"/>
      <w:marTop w:val="0"/>
      <w:marBottom w:val="0"/>
      <w:divBdr>
        <w:top w:val="none" w:sz="0" w:space="0" w:color="auto"/>
        <w:left w:val="none" w:sz="0" w:space="0" w:color="auto"/>
        <w:bottom w:val="none" w:sz="0" w:space="0" w:color="auto"/>
        <w:right w:val="none" w:sz="0" w:space="0" w:color="auto"/>
      </w:divBdr>
    </w:div>
    <w:div w:id="797139536">
      <w:bodyDiv w:val="1"/>
      <w:marLeft w:val="0"/>
      <w:marRight w:val="0"/>
      <w:marTop w:val="0"/>
      <w:marBottom w:val="0"/>
      <w:divBdr>
        <w:top w:val="none" w:sz="0" w:space="0" w:color="auto"/>
        <w:left w:val="none" w:sz="0" w:space="0" w:color="auto"/>
        <w:bottom w:val="none" w:sz="0" w:space="0" w:color="auto"/>
        <w:right w:val="none" w:sz="0" w:space="0" w:color="auto"/>
      </w:divBdr>
    </w:div>
    <w:div w:id="831717933">
      <w:bodyDiv w:val="1"/>
      <w:marLeft w:val="0"/>
      <w:marRight w:val="0"/>
      <w:marTop w:val="0"/>
      <w:marBottom w:val="0"/>
      <w:divBdr>
        <w:top w:val="none" w:sz="0" w:space="0" w:color="auto"/>
        <w:left w:val="none" w:sz="0" w:space="0" w:color="auto"/>
        <w:bottom w:val="none" w:sz="0" w:space="0" w:color="auto"/>
        <w:right w:val="none" w:sz="0" w:space="0" w:color="auto"/>
      </w:divBdr>
    </w:div>
    <w:div w:id="1067218115">
      <w:bodyDiv w:val="1"/>
      <w:marLeft w:val="0"/>
      <w:marRight w:val="0"/>
      <w:marTop w:val="0"/>
      <w:marBottom w:val="0"/>
      <w:divBdr>
        <w:top w:val="none" w:sz="0" w:space="0" w:color="auto"/>
        <w:left w:val="none" w:sz="0" w:space="0" w:color="auto"/>
        <w:bottom w:val="none" w:sz="0" w:space="0" w:color="auto"/>
        <w:right w:val="none" w:sz="0" w:space="0" w:color="auto"/>
      </w:divBdr>
    </w:div>
    <w:div w:id="1199077516">
      <w:bodyDiv w:val="1"/>
      <w:marLeft w:val="0"/>
      <w:marRight w:val="0"/>
      <w:marTop w:val="0"/>
      <w:marBottom w:val="0"/>
      <w:divBdr>
        <w:top w:val="none" w:sz="0" w:space="0" w:color="auto"/>
        <w:left w:val="none" w:sz="0" w:space="0" w:color="auto"/>
        <w:bottom w:val="none" w:sz="0" w:space="0" w:color="auto"/>
        <w:right w:val="none" w:sz="0" w:space="0" w:color="auto"/>
      </w:divBdr>
    </w:div>
    <w:div w:id="1334408541">
      <w:bodyDiv w:val="1"/>
      <w:marLeft w:val="0"/>
      <w:marRight w:val="0"/>
      <w:marTop w:val="0"/>
      <w:marBottom w:val="0"/>
      <w:divBdr>
        <w:top w:val="none" w:sz="0" w:space="0" w:color="auto"/>
        <w:left w:val="none" w:sz="0" w:space="0" w:color="auto"/>
        <w:bottom w:val="none" w:sz="0" w:space="0" w:color="auto"/>
        <w:right w:val="none" w:sz="0" w:space="0" w:color="auto"/>
      </w:divBdr>
    </w:div>
    <w:div w:id="1423910861">
      <w:bodyDiv w:val="1"/>
      <w:marLeft w:val="0"/>
      <w:marRight w:val="0"/>
      <w:marTop w:val="0"/>
      <w:marBottom w:val="0"/>
      <w:divBdr>
        <w:top w:val="none" w:sz="0" w:space="0" w:color="auto"/>
        <w:left w:val="none" w:sz="0" w:space="0" w:color="auto"/>
        <w:bottom w:val="none" w:sz="0" w:space="0" w:color="auto"/>
        <w:right w:val="none" w:sz="0" w:space="0" w:color="auto"/>
      </w:divBdr>
    </w:div>
    <w:div w:id="1472752833">
      <w:bodyDiv w:val="1"/>
      <w:marLeft w:val="0"/>
      <w:marRight w:val="0"/>
      <w:marTop w:val="0"/>
      <w:marBottom w:val="0"/>
      <w:divBdr>
        <w:top w:val="none" w:sz="0" w:space="0" w:color="auto"/>
        <w:left w:val="none" w:sz="0" w:space="0" w:color="auto"/>
        <w:bottom w:val="none" w:sz="0" w:space="0" w:color="auto"/>
        <w:right w:val="none" w:sz="0" w:space="0" w:color="auto"/>
      </w:divBdr>
    </w:div>
    <w:div w:id="1599092897">
      <w:bodyDiv w:val="1"/>
      <w:marLeft w:val="0"/>
      <w:marRight w:val="0"/>
      <w:marTop w:val="0"/>
      <w:marBottom w:val="0"/>
      <w:divBdr>
        <w:top w:val="none" w:sz="0" w:space="0" w:color="auto"/>
        <w:left w:val="none" w:sz="0" w:space="0" w:color="auto"/>
        <w:bottom w:val="none" w:sz="0" w:space="0" w:color="auto"/>
        <w:right w:val="none" w:sz="0" w:space="0" w:color="auto"/>
      </w:divBdr>
    </w:div>
    <w:div w:id="1790124370">
      <w:bodyDiv w:val="1"/>
      <w:marLeft w:val="0"/>
      <w:marRight w:val="0"/>
      <w:marTop w:val="0"/>
      <w:marBottom w:val="0"/>
      <w:divBdr>
        <w:top w:val="none" w:sz="0" w:space="0" w:color="auto"/>
        <w:left w:val="none" w:sz="0" w:space="0" w:color="auto"/>
        <w:bottom w:val="none" w:sz="0" w:space="0" w:color="auto"/>
        <w:right w:val="none" w:sz="0" w:space="0" w:color="auto"/>
      </w:divBdr>
    </w:div>
    <w:div w:id="2056394550">
      <w:bodyDiv w:val="1"/>
      <w:marLeft w:val="0"/>
      <w:marRight w:val="0"/>
      <w:marTop w:val="0"/>
      <w:marBottom w:val="0"/>
      <w:divBdr>
        <w:top w:val="none" w:sz="0" w:space="0" w:color="auto"/>
        <w:left w:val="none" w:sz="0" w:space="0" w:color="auto"/>
        <w:bottom w:val="none" w:sz="0" w:space="0" w:color="auto"/>
        <w:right w:val="none" w:sz="0" w:space="0" w:color="auto"/>
      </w:divBdr>
    </w:div>
    <w:div w:id="2094814298">
      <w:bodyDiv w:val="1"/>
      <w:marLeft w:val="0"/>
      <w:marRight w:val="0"/>
      <w:marTop w:val="0"/>
      <w:marBottom w:val="0"/>
      <w:divBdr>
        <w:top w:val="none" w:sz="0" w:space="0" w:color="auto"/>
        <w:left w:val="none" w:sz="0" w:space="0" w:color="auto"/>
        <w:bottom w:val="none" w:sz="0" w:space="0" w:color="auto"/>
        <w:right w:val="none" w:sz="0" w:space="0" w:color="auto"/>
      </w:divBdr>
    </w:div>
    <w:div w:id="213976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3.wmf"/><Relationship Id="rId26" Type="http://schemas.openxmlformats.org/officeDocument/2006/relationships/image" Target="media/image7.wmf"/><Relationship Id="rId39" Type="http://schemas.openxmlformats.org/officeDocument/2006/relationships/oleObject" Target="embeddings/oleObject13.bin"/><Relationship Id="rId21" Type="http://schemas.openxmlformats.org/officeDocument/2006/relationships/oleObject" Target="embeddings/oleObject4.bin"/><Relationship Id="rId34" Type="http://schemas.openxmlformats.org/officeDocument/2006/relationships/image" Target="media/image11.wmf"/><Relationship Id="rId42" Type="http://schemas.openxmlformats.org/officeDocument/2006/relationships/image" Target="media/image15.wmf"/><Relationship Id="rId47" Type="http://schemas.openxmlformats.org/officeDocument/2006/relationships/oleObject" Target="embeddings/oleObject17.bin"/><Relationship Id="rId50" Type="http://schemas.openxmlformats.org/officeDocument/2006/relationships/image" Target="media/image19.wmf"/><Relationship Id="rId55" Type="http://schemas.openxmlformats.org/officeDocument/2006/relationships/oleObject" Target="embeddings/oleObject21.bin"/><Relationship Id="rId63" Type="http://schemas.openxmlformats.org/officeDocument/2006/relationships/oleObject" Target="embeddings/oleObject25.bin"/><Relationship Id="rId68" Type="http://schemas.openxmlformats.org/officeDocument/2006/relationships/image" Target="media/image28.wmf"/><Relationship Id="rId76" Type="http://schemas.openxmlformats.org/officeDocument/2006/relationships/oleObject" Target="embeddings/oleObject32.bin"/><Relationship Id="rId7" Type="http://schemas.openxmlformats.org/officeDocument/2006/relationships/endnotes" Target="endnotes.xml"/><Relationship Id="rId71" Type="http://schemas.openxmlformats.org/officeDocument/2006/relationships/oleObject" Target="embeddings/oleObject29.bin"/><Relationship Id="rId2" Type="http://schemas.openxmlformats.org/officeDocument/2006/relationships/numbering" Target="numbering.xml"/><Relationship Id="rId16" Type="http://schemas.openxmlformats.org/officeDocument/2006/relationships/image" Target="media/image2.wmf"/><Relationship Id="rId29" Type="http://schemas.openxmlformats.org/officeDocument/2006/relationships/oleObject" Target="embeddings/oleObject8.bin"/><Relationship Id="rId11" Type="http://schemas.openxmlformats.org/officeDocument/2006/relationships/footer" Target="footer2.xml"/><Relationship Id="rId24" Type="http://schemas.openxmlformats.org/officeDocument/2006/relationships/image" Target="media/image6.wmf"/><Relationship Id="rId32" Type="http://schemas.openxmlformats.org/officeDocument/2006/relationships/image" Target="media/image10.wmf"/><Relationship Id="rId37" Type="http://schemas.openxmlformats.org/officeDocument/2006/relationships/oleObject" Target="embeddings/oleObject12.bin"/><Relationship Id="rId40" Type="http://schemas.openxmlformats.org/officeDocument/2006/relationships/image" Target="media/image14.wmf"/><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image" Target="media/image23.wmf"/><Relationship Id="rId66" Type="http://schemas.openxmlformats.org/officeDocument/2006/relationships/image" Target="media/image27.wmf"/><Relationship Id="rId74" Type="http://schemas.openxmlformats.org/officeDocument/2006/relationships/oleObject" Target="embeddings/oleObject31.bin"/><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24.bin"/><Relationship Id="rId10" Type="http://schemas.openxmlformats.org/officeDocument/2006/relationships/footer" Target="footer1.xml"/><Relationship Id="rId19" Type="http://schemas.openxmlformats.org/officeDocument/2006/relationships/oleObject" Target="embeddings/oleObject3.bin"/><Relationship Id="rId31" Type="http://schemas.openxmlformats.org/officeDocument/2006/relationships/oleObject" Target="embeddings/oleObject9.bin"/><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image" Target="media/image24.wmf"/><Relationship Id="rId65" Type="http://schemas.openxmlformats.org/officeDocument/2006/relationships/oleObject" Target="embeddings/oleObject26.bin"/><Relationship Id="rId73" Type="http://schemas.openxmlformats.org/officeDocument/2006/relationships/image" Target="media/image30.wmf"/><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oleObject" Target="embeddings/oleObject7.bin"/><Relationship Id="rId30" Type="http://schemas.openxmlformats.org/officeDocument/2006/relationships/image" Target="media/image9.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18.wmf"/><Relationship Id="rId56" Type="http://schemas.openxmlformats.org/officeDocument/2006/relationships/image" Target="media/image22.wmf"/><Relationship Id="rId64" Type="http://schemas.openxmlformats.org/officeDocument/2006/relationships/image" Target="media/image26.wmf"/><Relationship Id="rId69" Type="http://schemas.openxmlformats.org/officeDocument/2006/relationships/oleObject" Target="embeddings/oleObject28.bin"/><Relationship Id="rId77" Type="http://schemas.openxmlformats.org/officeDocument/2006/relationships/oleObject" Target="embeddings/oleObject33.bin"/><Relationship Id="rId8" Type="http://schemas.openxmlformats.org/officeDocument/2006/relationships/header" Target="header1.xml"/><Relationship Id="rId51" Type="http://schemas.openxmlformats.org/officeDocument/2006/relationships/oleObject" Target="embeddings/oleObject19.bin"/><Relationship Id="rId72" Type="http://schemas.openxmlformats.org/officeDocument/2006/relationships/oleObject" Target="embeddings/oleObject30.bin"/><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3.wmf"/><Relationship Id="rId46" Type="http://schemas.openxmlformats.org/officeDocument/2006/relationships/image" Target="media/image17.wmf"/><Relationship Id="rId59" Type="http://schemas.openxmlformats.org/officeDocument/2006/relationships/oleObject" Target="embeddings/oleObject23.bin"/><Relationship Id="rId67" Type="http://schemas.openxmlformats.org/officeDocument/2006/relationships/oleObject" Target="embeddings/oleObject27.bin"/><Relationship Id="rId20" Type="http://schemas.openxmlformats.org/officeDocument/2006/relationships/image" Target="media/image4.wmf"/><Relationship Id="rId41" Type="http://schemas.openxmlformats.org/officeDocument/2006/relationships/oleObject" Target="embeddings/oleObject14.bin"/><Relationship Id="rId54" Type="http://schemas.openxmlformats.org/officeDocument/2006/relationships/image" Target="media/image21.wmf"/><Relationship Id="rId62" Type="http://schemas.openxmlformats.org/officeDocument/2006/relationships/image" Target="media/image25.wmf"/><Relationship Id="rId70" Type="http://schemas.openxmlformats.org/officeDocument/2006/relationships/image" Target="media/image29.wmf"/><Relationship Id="rId75" Type="http://schemas.openxmlformats.org/officeDocument/2006/relationships/image" Target="media/image31.w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oleObject" Target="embeddings/oleObject18.bin"/><Relationship Id="rId57" Type="http://schemas.openxmlformats.org/officeDocument/2006/relationships/oleObject" Target="embeddings/oleObject2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0076B-3C8E-4699-8C71-31D778C0E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5344</Words>
  <Characters>29397</Characters>
  <Application>Microsoft Office Word</Application>
  <DocSecurity>0</DocSecurity>
  <Lines>244</Lines>
  <Paragraphs>69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What happiness data tell us about relative risk aversion</vt:lpstr>
      <vt:lpstr>What happiness data tell us about relative risk aversion</vt:lpstr>
    </vt:vector>
  </TitlesOfParts>
  <Company>Universidad ORT Uruguay</Company>
  <LinksUpToDate>false</LinksUpToDate>
  <CharactersWithSpaces>34672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happiness data tell us about relative risk aversion</dc:title>
  <dc:subject/>
  <dc:creator>gandelman</dc:creator>
  <cp:keywords/>
  <dc:description/>
  <cp:lastModifiedBy>Universidad ORT Uruguay</cp:lastModifiedBy>
  <cp:revision>2</cp:revision>
  <cp:lastPrinted>2011-10-28T19:38:00Z</cp:lastPrinted>
  <dcterms:created xsi:type="dcterms:W3CDTF">2012-03-06T12:38:00Z</dcterms:created>
  <dcterms:modified xsi:type="dcterms:W3CDTF">2012-03-06T12:38:00Z</dcterms:modified>
</cp:coreProperties>
</file>